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color w:val="000000"/>
          <w:sz w:val="44"/>
          <w:szCs w:val="44"/>
        </w:rPr>
      </w:pPr>
      <w:r>
        <w:rPr>
          <w:rFonts w:hint="eastAsia" w:ascii="黑体" w:hAnsi="黑体" w:eastAsia="黑体" w:cs="黑体"/>
          <w:color w:val="auto"/>
          <w:sz w:val="44"/>
          <w:szCs w:val="44"/>
          <w:lang w:val="en-US" w:eastAsia="zh-CN"/>
        </w:rPr>
        <w:t>平湖市自然资源和规划局</w:t>
      </w:r>
      <w:r>
        <w:rPr>
          <w:rFonts w:hint="eastAsia" w:ascii="黑体" w:hAnsi="黑体" w:eastAsia="黑体" w:cs="黑体"/>
          <w:color w:val="000000"/>
          <w:sz w:val="44"/>
          <w:szCs w:val="44"/>
        </w:rPr>
        <w:t>202</w:t>
      </w:r>
      <w:r>
        <w:rPr>
          <w:rFonts w:hint="eastAsia" w:ascii="黑体" w:hAnsi="黑体" w:eastAsia="黑体" w:cs="黑体"/>
          <w:color w:val="000000"/>
          <w:sz w:val="44"/>
          <w:szCs w:val="44"/>
          <w:lang w:val="en-US" w:eastAsia="zh-CN"/>
        </w:rPr>
        <w:t>3</w:t>
      </w:r>
      <w:r>
        <w:rPr>
          <w:rFonts w:hint="eastAsia" w:ascii="黑体" w:hAnsi="黑体" w:eastAsia="黑体" w:cs="黑体"/>
          <w:color w:val="000000"/>
          <w:sz w:val="44"/>
          <w:szCs w:val="44"/>
        </w:rPr>
        <w:t>年度政府</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color w:val="000000"/>
          <w:sz w:val="44"/>
          <w:szCs w:val="44"/>
        </w:rPr>
      </w:pPr>
      <w:r>
        <w:rPr>
          <w:rFonts w:hint="eastAsia" w:ascii="黑体" w:hAnsi="黑体" w:eastAsia="黑体" w:cs="黑体"/>
          <w:color w:val="000000"/>
          <w:sz w:val="44"/>
          <w:szCs w:val="44"/>
        </w:rPr>
        <w:t>信息公开工作年度报告</w:t>
      </w:r>
    </w:p>
    <w:p>
      <w:pPr>
        <w:spacing w:line="600" w:lineRule="exact"/>
        <w:jc w:val="center"/>
        <w:rPr>
          <w:rFonts w:hint="eastAsia" w:ascii="仿宋_GB2312" w:hAnsi="宋体" w:eastAsia="仿宋_GB2312"/>
          <w:b/>
          <w:color w:val="FF0000"/>
          <w:sz w:val="32"/>
          <w:szCs w:val="32"/>
        </w:rPr>
      </w:pPr>
    </w:p>
    <w:p>
      <w:pPr>
        <w:widowControl/>
        <w:spacing w:line="60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一、总体情况</w:t>
      </w:r>
    </w:p>
    <w:p>
      <w:pPr>
        <w:widowControl/>
        <w:spacing w:line="600" w:lineRule="exact"/>
        <w:ind w:firstLine="640" w:firstLineChars="200"/>
        <w:rPr>
          <w:rFonts w:hint="eastAsia" w:ascii="楷体_GB2312" w:hAnsi="楷体_GB2312" w:eastAsia="楷体_GB2312" w:cs="楷体_GB2312"/>
          <w:color w:val="000000"/>
          <w:sz w:val="32"/>
          <w:szCs w:val="32"/>
        </w:rPr>
      </w:pPr>
      <w:r>
        <w:rPr>
          <w:rFonts w:hint="eastAsia" w:ascii="仿宋_GB2312" w:hAnsi="Calibri" w:eastAsia="仿宋_GB2312" w:cs="Times New Roman"/>
          <w:sz w:val="32"/>
          <w:szCs w:val="32"/>
          <w:lang w:val="en-US" w:eastAsia="zh-CN"/>
        </w:rPr>
        <w:t>2023年，平湖市自然资源和规划局认真贯彻落实《中华人民共和国政府信息公开条例》《浙江省政府信息公开暂行办法》等各项规定，按照市委、市政府工作要求，规范推进信息公开工作</w:t>
      </w:r>
      <w:r>
        <w:rPr>
          <w:rFonts w:hint="eastAsia" w:ascii="仿宋_GB2312" w:eastAsia="仿宋_GB2312" w:cs="Times New Roman"/>
          <w:sz w:val="32"/>
          <w:szCs w:val="32"/>
          <w:lang w:val="en-US" w:eastAsia="zh-CN"/>
        </w:rPr>
        <w:t>。</w:t>
      </w:r>
      <w:bookmarkStart w:id="0" w:name="_GoBack"/>
      <w:bookmarkEnd w:id="0"/>
    </w:p>
    <w:p>
      <w:pPr>
        <w:widowControl/>
        <w:spacing w:line="600" w:lineRule="exact"/>
        <w:ind w:firstLine="640" w:firstLineChars="200"/>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（一）主动公开情况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度</w:t>
      </w:r>
      <w:r>
        <w:rPr>
          <w:rFonts w:hint="eastAsia" w:ascii="仿宋_GB2312" w:hAnsi="仿宋_GB2312" w:eastAsia="仿宋_GB2312" w:cs="仿宋_GB2312"/>
          <w:color w:val="auto"/>
          <w:sz w:val="32"/>
          <w:szCs w:val="32"/>
        </w:rPr>
        <w:t>主动公开政府信息</w:t>
      </w:r>
      <w:r>
        <w:rPr>
          <w:rFonts w:hint="eastAsia" w:ascii="仿宋_GB2312" w:hAnsi="仿宋_GB2312" w:eastAsia="仿宋_GB2312" w:cs="仿宋_GB2312"/>
          <w:color w:val="auto"/>
          <w:sz w:val="32"/>
          <w:szCs w:val="32"/>
          <w:lang w:val="en-US" w:eastAsia="zh-CN"/>
        </w:rPr>
        <w:t>629</w:t>
      </w:r>
      <w:r>
        <w:rPr>
          <w:rFonts w:hint="eastAsia" w:ascii="仿宋_GB2312" w:hAnsi="仿宋_GB2312" w:eastAsia="仿宋_GB2312" w:cs="仿宋_GB2312"/>
          <w:color w:val="auto"/>
          <w:sz w:val="32"/>
          <w:szCs w:val="32"/>
        </w:rPr>
        <w:t>条。其中，试点领域类信息</w:t>
      </w:r>
      <w:r>
        <w:rPr>
          <w:rFonts w:hint="eastAsia" w:ascii="仿宋_GB2312" w:hAnsi="仿宋_GB2312" w:eastAsia="仿宋_GB2312" w:cs="仿宋_GB2312"/>
          <w:color w:val="auto"/>
          <w:sz w:val="32"/>
          <w:szCs w:val="32"/>
          <w:lang w:val="en-US" w:eastAsia="zh-CN"/>
        </w:rPr>
        <w:t>227</w:t>
      </w:r>
      <w:r>
        <w:rPr>
          <w:rFonts w:hint="eastAsia" w:ascii="仿宋_GB2312" w:hAnsi="仿宋_GB2312" w:eastAsia="仿宋_GB2312" w:cs="仿宋_GB2312"/>
          <w:color w:val="auto"/>
          <w:sz w:val="32"/>
          <w:szCs w:val="32"/>
        </w:rPr>
        <w:t>条，占</w:t>
      </w:r>
      <w:r>
        <w:rPr>
          <w:rFonts w:hint="eastAsia" w:ascii="仿宋_GB2312" w:hAnsi="仿宋_GB2312" w:eastAsia="仿宋_GB2312" w:cs="仿宋_GB2312"/>
          <w:color w:val="auto"/>
          <w:sz w:val="32"/>
          <w:szCs w:val="32"/>
          <w:lang w:val="en-US" w:eastAsia="zh-CN"/>
        </w:rPr>
        <w:t>36.1</w:t>
      </w:r>
      <w:r>
        <w:rPr>
          <w:rFonts w:hint="eastAsia" w:ascii="仿宋_GB2312" w:hAnsi="仿宋_GB2312" w:eastAsia="仿宋_GB2312" w:cs="仿宋_GB2312"/>
          <w:color w:val="auto"/>
          <w:sz w:val="32"/>
          <w:szCs w:val="32"/>
        </w:rPr>
        <w:t>%；工作动态类信息累计公开</w:t>
      </w:r>
      <w:r>
        <w:rPr>
          <w:rFonts w:hint="eastAsia" w:ascii="仿宋_GB2312" w:hAnsi="仿宋_GB2312" w:eastAsia="仿宋_GB2312" w:cs="仿宋_GB2312"/>
          <w:color w:val="auto"/>
          <w:sz w:val="32"/>
          <w:szCs w:val="32"/>
          <w:lang w:val="en-US" w:eastAsia="zh-CN"/>
        </w:rPr>
        <w:t>56</w:t>
      </w:r>
      <w:r>
        <w:rPr>
          <w:rFonts w:hint="eastAsia" w:ascii="仿宋_GB2312" w:hAnsi="仿宋_GB2312" w:eastAsia="仿宋_GB2312" w:cs="仿宋_GB2312"/>
          <w:color w:val="auto"/>
          <w:sz w:val="32"/>
          <w:szCs w:val="32"/>
        </w:rPr>
        <w:t>条，占</w:t>
      </w:r>
      <w:r>
        <w:rPr>
          <w:rFonts w:hint="eastAsia" w:ascii="仿宋_GB2312" w:hAnsi="仿宋_GB2312" w:eastAsia="仿宋_GB2312" w:cs="仿宋_GB2312"/>
          <w:color w:val="auto"/>
          <w:sz w:val="32"/>
          <w:szCs w:val="32"/>
          <w:lang w:val="en-US" w:eastAsia="zh-CN"/>
        </w:rPr>
        <w:t>8.9</w:t>
      </w:r>
      <w:r>
        <w:rPr>
          <w:rFonts w:hint="eastAsia" w:ascii="仿宋_GB2312" w:hAnsi="仿宋_GB2312" w:eastAsia="仿宋_GB2312" w:cs="仿宋_GB2312"/>
          <w:color w:val="auto"/>
          <w:sz w:val="32"/>
          <w:szCs w:val="32"/>
        </w:rPr>
        <w:t>%；公告公示类信息累计公开</w:t>
      </w:r>
      <w:r>
        <w:rPr>
          <w:rFonts w:hint="eastAsia" w:ascii="仿宋_GB2312" w:hAnsi="仿宋_GB2312" w:eastAsia="仿宋_GB2312" w:cs="仿宋_GB2312"/>
          <w:color w:val="auto"/>
          <w:sz w:val="32"/>
          <w:szCs w:val="32"/>
          <w:lang w:val="en-US" w:eastAsia="zh-CN"/>
        </w:rPr>
        <w:t>166</w:t>
      </w:r>
      <w:r>
        <w:rPr>
          <w:rFonts w:hint="eastAsia" w:ascii="仿宋_GB2312" w:hAnsi="仿宋_GB2312" w:eastAsia="仿宋_GB2312" w:cs="仿宋_GB2312"/>
          <w:color w:val="auto"/>
          <w:sz w:val="32"/>
          <w:szCs w:val="32"/>
        </w:rPr>
        <w:t>条，占</w:t>
      </w:r>
      <w:r>
        <w:rPr>
          <w:rFonts w:hint="eastAsia" w:ascii="仿宋_GB2312" w:hAnsi="仿宋_GB2312" w:eastAsia="仿宋_GB2312" w:cs="仿宋_GB2312"/>
          <w:color w:val="auto"/>
          <w:sz w:val="32"/>
          <w:szCs w:val="32"/>
          <w:lang w:val="en-US" w:eastAsia="zh-CN"/>
        </w:rPr>
        <w:t>26.4</w:t>
      </w:r>
      <w:r>
        <w:rPr>
          <w:rFonts w:hint="eastAsia" w:ascii="仿宋_GB2312" w:hAnsi="仿宋_GB2312" w:eastAsia="仿宋_GB2312" w:cs="仿宋_GB2312"/>
          <w:color w:val="auto"/>
          <w:sz w:val="32"/>
          <w:szCs w:val="32"/>
        </w:rPr>
        <w:t>%；其它类信息累计公开</w:t>
      </w:r>
      <w:r>
        <w:rPr>
          <w:rFonts w:hint="eastAsia" w:ascii="仿宋_GB2312" w:hAnsi="仿宋_GB2312" w:eastAsia="仿宋_GB2312" w:cs="仿宋_GB2312"/>
          <w:color w:val="auto"/>
          <w:sz w:val="32"/>
          <w:szCs w:val="32"/>
          <w:lang w:val="en-US" w:eastAsia="zh-CN"/>
        </w:rPr>
        <w:t>180</w:t>
      </w:r>
      <w:r>
        <w:rPr>
          <w:rFonts w:hint="eastAsia" w:ascii="仿宋_GB2312" w:hAnsi="仿宋_GB2312" w:eastAsia="仿宋_GB2312" w:cs="仿宋_GB2312"/>
          <w:color w:val="auto"/>
          <w:sz w:val="32"/>
          <w:szCs w:val="32"/>
        </w:rPr>
        <w:t>条，占</w:t>
      </w:r>
      <w:r>
        <w:rPr>
          <w:rFonts w:hint="eastAsia" w:ascii="仿宋_GB2312" w:hAnsi="仿宋_GB2312" w:eastAsia="仿宋_GB2312" w:cs="仿宋_GB2312"/>
          <w:color w:val="auto"/>
          <w:sz w:val="32"/>
          <w:szCs w:val="32"/>
          <w:lang w:val="en-US" w:eastAsia="zh-CN"/>
        </w:rPr>
        <w:t>28.6</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并</w:t>
      </w:r>
      <w:r>
        <w:rPr>
          <w:rFonts w:hint="eastAsia" w:ascii="仿宋_GB2312" w:hAnsi="仿宋_GB2312" w:eastAsia="仿宋_GB2312" w:cs="仿宋_GB2312"/>
          <w:color w:val="auto"/>
          <w:sz w:val="32"/>
          <w:szCs w:val="32"/>
        </w:rPr>
        <w:t>做好政府信息公开指南、单位概况</w:t>
      </w:r>
      <w:r>
        <w:rPr>
          <w:rFonts w:hint="eastAsia" w:ascii="仿宋_GB2312" w:hAnsi="仿宋_GB2312" w:eastAsia="仿宋_GB2312" w:cs="仿宋_GB2312"/>
          <w:color w:val="auto"/>
          <w:sz w:val="32"/>
          <w:szCs w:val="32"/>
          <w:lang w:val="en-US" w:eastAsia="zh-CN"/>
        </w:rPr>
        <w:t>类</w:t>
      </w:r>
      <w:r>
        <w:rPr>
          <w:rFonts w:hint="eastAsia" w:ascii="仿宋_GB2312" w:hAnsi="仿宋_GB2312" w:eastAsia="仿宋_GB2312" w:cs="仿宋_GB2312"/>
          <w:color w:val="auto"/>
          <w:sz w:val="32"/>
          <w:szCs w:val="32"/>
        </w:rPr>
        <w:t>信息更新。对本级自然资源和规划领域现行有效的行政规范性文件进行全面清理，今年废止3件，宣布失效1件，予以保留4件。</w:t>
      </w:r>
      <w:r>
        <w:rPr>
          <w:rFonts w:hint="eastAsia" w:ascii="仿宋_GB2312" w:hAnsi="仿宋_GB2312" w:eastAsia="仿宋_GB2312" w:cs="仿宋_GB2312"/>
          <w:color w:val="auto"/>
          <w:sz w:val="32"/>
          <w:szCs w:val="32"/>
          <w:lang w:val="en-US" w:eastAsia="zh-CN"/>
        </w:rPr>
        <w:t>合并原《城乡规划领域基层政务公开标准目录》《农村集体土地征收基层政务公开标准目录》为《自然资源领域基层政务公开标准目录》，严格落实基层政务公开标准化规范化任务。</w:t>
      </w:r>
    </w:p>
    <w:p>
      <w:pPr>
        <w:widowControl/>
        <w:spacing w:line="600" w:lineRule="exact"/>
        <w:ind w:firstLine="640" w:firstLineChars="200"/>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（二）依申请公开情况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坚持依法依规、高质高效做好依申请公开工作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2023年度</w:t>
      </w:r>
      <w:r>
        <w:rPr>
          <w:rFonts w:hint="eastAsia" w:ascii="仿宋_GB2312" w:hAnsi="仿宋_GB2312" w:eastAsia="仿宋_GB2312" w:cs="仿宋_GB2312"/>
          <w:color w:val="auto"/>
          <w:sz w:val="32"/>
          <w:szCs w:val="32"/>
        </w:rPr>
        <w:t>规范答复依申请信息公开15件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15件答复均未被提起行政复议或行政诉讼，其中8件予以公开，2件部分公开，3件因本机关不掌握相关政府信息而无法提供，2件因申请人无正当理由逾期未补正作其他处理。</w:t>
      </w:r>
    </w:p>
    <w:p>
      <w:pPr>
        <w:widowControl/>
        <w:numPr>
          <w:ilvl w:val="0"/>
          <w:numId w:val="0"/>
        </w:numPr>
        <w:spacing w:line="600" w:lineRule="exact"/>
        <w:ind w:firstLine="640" w:firstLineChars="200"/>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kern w:val="2"/>
          <w:sz w:val="32"/>
          <w:szCs w:val="32"/>
          <w:lang w:val="en-US" w:eastAsia="zh-CN" w:bidi="ar-SA"/>
        </w:rPr>
        <w:t>（三）</w:t>
      </w:r>
      <w:r>
        <w:rPr>
          <w:rFonts w:hint="eastAsia" w:ascii="楷体_GB2312" w:hAnsi="楷体_GB2312" w:eastAsia="楷体_GB2312" w:cs="楷体_GB2312"/>
          <w:color w:val="000000"/>
          <w:sz w:val="32"/>
          <w:szCs w:val="32"/>
        </w:rPr>
        <w:t>政府信息管理情况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信息发布严格遵守“谁上网谁负责，谁发布谁负责”“事前审查”“依法公开”原则，坚持分级分类审核、先审后发，明确审核主体、审核流程，严把政治关、法律关、政策关、保密关、文字关，确保信息发布的权威性、安全性，对外发布信息均严格进行审核。</w:t>
      </w:r>
    </w:p>
    <w:p>
      <w:pPr>
        <w:keepNext w:val="0"/>
        <w:keepLines w:val="0"/>
        <w:widowControl/>
        <w:numPr>
          <w:ilvl w:val="0"/>
          <w:numId w:val="0"/>
        </w:numPr>
        <w:suppressLineNumbers w:val="0"/>
        <w:spacing w:line="560" w:lineRule="exact"/>
        <w:ind w:left="0" w:leftChars="0" w:firstLine="640" w:firstLineChars="200"/>
        <w:jc w:val="left"/>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kern w:val="2"/>
          <w:sz w:val="32"/>
          <w:szCs w:val="32"/>
          <w:lang w:val="en-US" w:eastAsia="zh-CN" w:bidi="ar-SA"/>
        </w:rPr>
        <w:t>（四）</w:t>
      </w:r>
      <w:r>
        <w:rPr>
          <w:rFonts w:hint="eastAsia" w:ascii="楷体_GB2312" w:hAnsi="楷体_GB2312" w:eastAsia="楷体_GB2312" w:cs="楷体_GB2312"/>
          <w:color w:val="000000"/>
          <w:sz w:val="32"/>
          <w:szCs w:val="32"/>
        </w:rPr>
        <w:t>平台建设情况</w:t>
      </w:r>
    </w:p>
    <w:p>
      <w:pPr>
        <w:keepNext w:val="0"/>
        <w:keepLines w:val="0"/>
        <w:widowControl/>
        <w:numPr>
          <w:ilvl w:val="0"/>
          <w:numId w:val="0"/>
        </w:numPr>
        <w:suppressLineNumbers w:val="0"/>
        <w:spacing w:line="560" w:lineRule="exact"/>
        <w:ind w:firstLine="640" w:firstLineChars="200"/>
        <w:jc w:val="left"/>
        <w:rPr>
          <w:rFonts w:hint="eastAsia" w:ascii="仿宋_GB2312" w:hAnsi="仿宋_GB2312" w:eastAsia="仿宋_GB2312" w:cs="仿宋_GB2312"/>
          <w:sz w:val="32"/>
          <w:szCs w:val="40"/>
          <w:highlight w:val="none"/>
          <w:lang w:val="en-US" w:eastAsia="zh-CN"/>
        </w:rPr>
      </w:pPr>
      <w:r>
        <w:rPr>
          <w:rFonts w:hint="eastAsia" w:ascii="仿宋_GB2312" w:hAnsi="仿宋_GB2312" w:eastAsia="仿宋_GB2312" w:cs="仿宋_GB2312"/>
          <w:sz w:val="32"/>
          <w:szCs w:val="40"/>
          <w:highlight w:val="none"/>
          <w:lang w:val="en-US" w:eastAsia="zh-CN"/>
        </w:rPr>
        <w:t>进一步强化信息公开平台建设，积极配合完成相关栏目内容的整改完善，</w:t>
      </w:r>
      <w:r>
        <w:rPr>
          <w:rFonts w:hint="eastAsia" w:ascii="仿宋_GB2312" w:hAnsi="仿宋_GB2312" w:eastAsia="仿宋_GB2312" w:cs="仿宋_GB2312"/>
          <w:sz w:val="32"/>
          <w:szCs w:val="40"/>
          <w:lang w:val="en-US" w:eastAsia="zh-CN"/>
        </w:rPr>
        <w:t>切实履行组织保障、运行维护、健康发展、安全管理等职责。</w:t>
      </w:r>
      <w:r>
        <w:rPr>
          <w:rFonts w:hint="eastAsia" w:ascii="仿宋_GB2312" w:hAnsi="仿宋_GB2312" w:eastAsia="仿宋_GB2312" w:cs="仿宋_GB2312"/>
          <w:sz w:val="32"/>
          <w:szCs w:val="40"/>
          <w:highlight w:val="none"/>
          <w:lang w:val="en-US" w:eastAsia="zh-CN"/>
        </w:rPr>
        <w:t>严格落实新媒体管理，2023年“金平湖自然资源”共发布相关工作信息148条。</w:t>
      </w:r>
    </w:p>
    <w:p>
      <w:pPr>
        <w:keepNext w:val="0"/>
        <w:keepLines w:val="0"/>
        <w:widowControl/>
        <w:numPr>
          <w:ilvl w:val="0"/>
          <w:numId w:val="0"/>
        </w:numPr>
        <w:suppressLineNumbers w:val="0"/>
        <w:spacing w:line="560" w:lineRule="exact"/>
        <w:ind w:firstLine="640" w:firstLineChars="200"/>
        <w:jc w:val="left"/>
        <w:rPr>
          <w:rFonts w:hint="eastAsia" w:ascii="楷体_GB2312" w:hAnsi="楷体_GB2312" w:eastAsia="楷体_GB2312" w:cs="楷体_GB2312"/>
          <w:color w:val="000000"/>
          <w:sz w:val="32"/>
          <w:szCs w:val="32"/>
          <w:lang w:val="en-US" w:eastAsia="zh-CN"/>
        </w:rPr>
      </w:pPr>
      <w:r>
        <w:rPr>
          <w:rFonts w:hint="eastAsia" w:ascii="楷体_GB2312" w:hAnsi="楷体_GB2312" w:eastAsia="楷体_GB2312" w:cs="楷体_GB2312"/>
          <w:color w:val="000000"/>
          <w:kern w:val="2"/>
          <w:sz w:val="32"/>
          <w:szCs w:val="32"/>
          <w:lang w:val="en-US" w:eastAsia="zh-CN" w:bidi="ar-SA"/>
        </w:rPr>
        <w:t>（五）</w:t>
      </w:r>
      <w:r>
        <w:rPr>
          <w:rFonts w:hint="eastAsia" w:ascii="楷体_GB2312" w:hAnsi="楷体_GB2312" w:eastAsia="楷体_GB2312" w:cs="楷体_GB2312"/>
          <w:color w:val="000000"/>
          <w:sz w:val="32"/>
          <w:szCs w:val="32"/>
        </w:rPr>
        <w:t>监督保障情况</w:t>
      </w:r>
      <w:r>
        <w:rPr>
          <w:rFonts w:hint="eastAsia" w:ascii="楷体_GB2312" w:hAnsi="楷体_GB2312" w:eastAsia="楷体_GB2312" w:cs="楷体_GB2312"/>
          <w:color w:val="000000"/>
          <w:sz w:val="32"/>
          <w:szCs w:val="32"/>
          <w:lang w:val="en-US" w:eastAsia="zh-CN"/>
        </w:rPr>
        <w:tab/>
      </w:r>
    </w:p>
    <w:p>
      <w:pPr>
        <w:keepNext w:val="0"/>
        <w:keepLines w:val="0"/>
        <w:widowControl/>
        <w:numPr>
          <w:ilvl w:val="0"/>
          <w:numId w:val="0"/>
        </w:numPr>
        <w:suppressLineNumbers w:val="0"/>
        <w:spacing w:line="560" w:lineRule="exact"/>
        <w:ind w:firstLine="640" w:firstLineChars="200"/>
        <w:jc w:val="left"/>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持续强化监督保障，加强政务公开各项工作，确保产生实效。建立政务公开领导小组，形成单位一把手负总责，各分管领导和责任科室齐抓共管，一级抓一级、层层抓落实的工作机制，明确政务信息公开日常工作分工。严格落实工作考核、社会评议、责任追究、举报调查处理机制，健全政府信息公开监督保障机制，及时规范政府信息公开指南，加快信息公开工作制度建设。本年度未产生因政府信息公开而被追究责任的情况。</w:t>
      </w:r>
    </w:p>
    <w:p>
      <w:pPr>
        <w:widowControl/>
        <w:spacing w:line="600" w:lineRule="exact"/>
        <w:ind w:firstLine="640" w:firstLineChars="200"/>
        <w:rPr>
          <w:rFonts w:hint="eastAsia" w:ascii="仿宋_GB2312" w:hAnsi="仿宋_GB2312" w:eastAsia="仿宋_GB2312" w:cs="仿宋_GB2312"/>
          <w:color w:val="FF0000"/>
          <w:sz w:val="32"/>
          <w:szCs w:val="32"/>
        </w:rPr>
      </w:pPr>
    </w:p>
    <w:p>
      <w:pPr>
        <w:widowControl/>
        <w:spacing w:line="600" w:lineRule="exact"/>
        <w:ind w:firstLine="640" w:firstLineChars="200"/>
        <w:rPr>
          <w:rFonts w:hint="eastAsia" w:ascii="黑体" w:hAnsi="黑体" w:eastAsia="黑体" w:cs="黑体"/>
          <w:bCs/>
          <w:color w:val="333333"/>
          <w:sz w:val="32"/>
          <w:szCs w:val="32"/>
          <w:shd w:val="clear" w:color="auto" w:fill="FFFFFF"/>
        </w:rPr>
      </w:pPr>
    </w:p>
    <w:p>
      <w:pPr>
        <w:widowControl/>
        <w:spacing w:line="600" w:lineRule="exact"/>
        <w:ind w:firstLine="640" w:firstLineChars="200"/>
        <w:rPr>
          <w:rFonts w:hint="eastAsia" w:ascii="黑体" w:hAnsi="黑体" w:eastAsia="黑体" w:cs="黑体"/>
          <w:bCs/>
          <w:color w:val="333333"/>
          <w:sz w:val="32"/>
          <w:szCs w:val="32"/>
          <w:shd w:val="clear" w:color="auto" w:fill="FFFFFF"/>
        </w:rPr>
      </w:pPr>
      <w:r>
        <w:rPr>
          <w:rFonts w:hint="eastAsia" w:ascii="黑体" w:hAnsi="黑体" w:eastAsia="黑体" w:cs="黑体"/>
          <w:bCs/>
          <w:color w:val="333333"/>
          <w:sz w:val="32"/>
          <w:szCs w:val="32"/>
          <w:shd w:val="clear" w:color="auto" w:fill="FFFFFF"/>
        </w:rPr>
        <w:t>二、主动公开政府信息情况</w:t>
      </w:r>
    </w:p>
    <w:tbl>
      <w:tblPr>
        <w:tblStyle w:val="5"/>
        <w:tblW w:w="0" w:type="auto"/>
        <w:jc w:val="center"/>
        <w:tblLayout w:type="fixed"/>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noWrap w:val="0"/>
            <w:tcMar>
              <w:left w:w="57" w:type="dxa"/>
              <w:right w:w="57" w:type="dxa"/>
            </w:tcMar>
            <w:vAlign w:val="center"/>
          </w:tcPr>
          <w:p>
            <w:pPr>
              <w:widowControl/>
              <w:jc w:val="center"/>
            </w:pPr>
            <w:r>
              <w:rPr>
                <w:rFonts w:hint="eastAsia" w:ascii="宋体" w:hAnsi="宋体" w:cs="宋体"/>
                <w:color w:val="000000"/>
                <w:kern w:val="0"/>
                <w:sz w:val="20"/>
                <w:szCs w:val="20"/>
                <w:lang w:bidi="ar"/>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widowControl/>
              <w:jc w:val="center"/>
            </w:pPr>
            <w:r>
              <w:rPr>
                <w:rFonts w:hint="eastAsia" w:ascii="宋体" w:hAnsi="宋体" w:cs="宋体"/>
                <w:color w:val="000000"/>
                <w:kern w:val="0"/>
                <w:sz w:val="20"/>
                <w:szCs w:val="20"/>
                <w:lang w:bidi="ar"/>
              </w:rPr>
              <w:t>本年</w:t>
            </w:r>
            <w:r>
              <w:rPr>
                <w:rFonts w:hint="eastAsia" w:ascii="宋体" w:hAnsi="宋体" w:cs="宋体"/>
                <w:kern w:val="0"/>
                <w:sz w:val="20"/>
                <w:szCs w:val="20"/>
                <w:lang w:bidi="ar"/>
              </w:rPr>
              <w:t>制发件数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widowControl/>
              <w:jc w:val="center"/>
            </w:pPr>
            <w:r>
              <w:rPr>
                <w:rFonts w:hint="eastAsia" w:ascii="宋体" w:hAnsi="宋体" w:cs="宋体"/>
                <w:color w:val="000000"/>
                <w:kern w:val="0"/>
                <w:sz w:val="20"/>
                <w:szCs w:val="20"/>
                <w:lang w:bidi="ar"/>
              </w:rPr>
              <w:t>本年废止件数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widowControl/>
              <w:jc w:val="center"/>
            </w:pPr>
            <w:r>
              <w:rPr>
                <w:rFonts w:hint="eastAsia" w:ascii="宋体" w:hAnsi="宋体" w:cs="宋体"/>
                <w:color w:val="000000"/>
                <w:kern w:val="0"/>
                <w:sz w:val="20"/>
                <w:szCs w:val="20"/>
                <w:lang w:bidi="ar"/>
              </w:rPr>
              <w:t>现行有效件</w:t>
            </w:r>
            <w:r>
              <w:rPr>
                <w:rFonts w:hint="eastAsia" w:ascii="宋体" w:hAnsi="宋体" w:cs="宋体"/>
                <w:kern w:val="0"/>
                <w:sz w:val="20"/>
                <w:szCs w:val="20"/>
                <w:lang w:bidi="ar"/>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left"/>
            </w:pPr>
            <w:r>
              <w:rPr>
                <w:rFonts w:hint="eastAsia" w:ascii="宋体" w:hAnsi="宋体" w:cs="宋体"/>
                <w:color w:val="000000"/>
                <w:kern w:val="0"/>
                <w:sz w:val="20"/>
                <w:szCs w:val="20"/>
                <w:lang w:bidi="ar"/>
              </w:rPr>
              <w:t>规章</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left"/>
            </w:pPr>
            <w:r>
              <w:rPr>
                <w:rFonts w:hint="eastAsia" w:ascii="宋体" w:hAnsi="宋体" w:cs="宋体"/>
                <w:color w:val="000000"/>
                <w:kern w:val="0"/>
                <w:sz w:val="20"/>
                <w:szCs w:val="20"/>
                <w:lang w:bidi="ar"/>
              </w:rPr>
              <w:t>行政规范性文件</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4</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4</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widowControl/>
              <w:jc w:val="center"/>
            </w:pPr>
            <w:r>
              <w:rPr>
                <w:rFonts w:hint="eastAsia" w:ascii="宋体" w:hAnsi="宋体" w:cs="宋体"/>
                <w:color w:val="000000"/>
                <w:kern w:val="0"/>
                <w:sz w:val="20"/>
                <w:szCs w:val="20"/>
                <w:lang w:bidi="ar"/>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ascii="宋体" w:hAnsi="宋体" w:cs="宋体"/>
                <w:color w:val="000000"/>
                <w:kern w:val="0"/>
                <w:sz w:val="20"/>
                <w:szCs w:val="20"/>
                <w:lang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left"/>
            </w:pPr>
            <w:r>
              <w:rPr>
                <w:rFonts w:hint="eastAsia" w:ascii="宋体" w:hAnsi="宋体" w:cs="宋体"/>
                <w:color w:val="000000"/>
                <w:kern w:val="0"/>
                <w:sz w:val="20"/>
                <w:szCs w:val="20"/>
                <w:lang w:bidi="ar"/>
              </w:rPr>
              <w:t>行政许可</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仿宋_GB2312" w:hAnsi="仿宋_GB2312" w:eastAsia="仿宋_GB2312" w:cs="仿宋_GB2312"/>
                <w:lang w:val="en-US" w:eastAsia="zh-CN"/>
              </w:rPr>
            </w:pPr>
            <w:r>
              <w:rPr>
                <w:rFonts w:hint="eastAsia" w:ascii="仿宋_GB2312" w:hAnsi="仿宋_GB2312" w:eastAsia="仿宋_GB2312" w:cs="仿宋_GB2312"/>
                <w:b w:val="0"/>
                <w:bCs w:val="0"/>
                <w:highlight w:val="none"/>
                <w:lang w:val="en-US" w:eastAsia="zh-CN"/>
              </w:rPr>
              <w:t>546</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widowControl/>
              <w:jc w:val="center"/>
            </w:pPr>
            <w:r>
              <w:rPr>
                <w:rFonts w:hint="eastAsia" w:ascii="宋体" w:hAnsi="宋体" w:cs="宋体"/>
                <w:color w:val="000000"/>
                <w:kern w:val="0"/>
                <w:sz w:val="20"/>
                <w:szCs w:val="20"/>
                <w:lang w:bidi="ar"/>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7305" w:type="dxa"/>
            <w:gridSpan w:val="3"/>
            <w:tcBorders>
              <w:top w:val="single" w:color="auto" w:sz="8" w:space="0"/>
              <w:left w:val="nil"/>
              <w:bottom w:val="single" w:color="auto" w:sz="8" w:space="0"/>
              <w:right w:val="single" w:color="auto" w:sz="8" w:space="0"/>
            </w:tcBorders>
            <w:noWrap w:val="0"/>
            <w:tcMar>
              <w:left w:w="57" w:type="dxa"/>
              <w:right w:w="57" w:type="dxa"/>
            </w:tcMar>
            <w:vAlign w:val="center"/>
          </w:tcPr>
          <w:p>
            <w:pPr>
              <w:widowControl/>
              <w:jc w:val="center"/>
            </w:pPr>
            <w:r>
              <w:rPr>
                <w:rFonts w:hint="eastAsia" w:ascii="宋体" w:hAnsi="宋体" w:cs="宋体"/>
                <w:color w:val="000000"/>
                <w:kern w:val="0"/>
                <w:sz w:val="20"/>
                <w:szCs w:val="20"/>
                <w:lang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left"/>
            </w:pPr>
            <w:r>
              <w:rPr>
                <w:rFonts w:hint="eastAsia" w:ascii="宋体" w:hAnsi="宋体" w:cs="宋体"/>
                <w:color w:val="000000"/>
                <w:kern w:val="0"/>
                <w:sz w:val="20"/>
                <w:szCs w:val="20"/>
                <w:lang w:bidi="ar"/>
              </w:rPr>
              <w:t>行政处罚</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left"/>
            </w:pPr>
            <w:r>
              <w:rPr>
                <w:rFonts w:hint="eastAsia" w:ascii="宋体" w:hAnsi="宋体" w:cs="宋体"/>
                <w:color w:val="000000"/>
                <w:kern w:val="0"/>
                <w:sz w:val="20"/>
                <w:szCs w:val="20"/>
                <w:lang w:bidi="ar"/>
              </w:rPr>
              <w:t>行政强制</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widowControl/>
              <w:jc w:val="center"/>
            </w:pPr>
            <w:r>
              <w:rPr>
                <w:rFonts w:hint="eastAsia" w:ascii="宋体" w:hAnsi="宋体" w:cs="宋体"/>
                <w:color w:val="000000"/>
                <w:kern w:val="0"/>
                <w:sz w:val="20"/>
                <w:szCs w:val="20"/>
                <w:lang w:bidi="ar"/>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widowControl/>
              <w:jc w:val="center"/>
            </w:pPr>
            <w:r>
              <w:rPr>
                <w:rFonts w:hint="eastAsia" w:ascii="宋体" w:hAnsi="宋体" w:cs="宋体"/>
                <w:color w:val="000000"/>
                <w:kern w:val="0"/>
                <w:sz w:val="20"/>
                <w:szCs w:val="20"/>
                <w:lang w:bidi="ar"/>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left"/>
            </w:pPr>
            <w:r>
              <w:rPr>
                <w:rFonts w:hint="eastAsia" w:ascii="宋体" w:hAnsi="宋体" w:cs="宋体"/>
                <w:color w:val="000000"/>
                <w:kern w:val="0"/>
                <w:sz w:val="20"/>
                <w:szCs w:val="20"/>
                <w:lang w:bidi="ar"/>
              </w:rPr>
              <w:t>行政事业性收费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jc w:val="center"/>
              <w:rPr>
                <w:rFonts w:hint="default" w:ascii="宋体" w:eastAsia="宋体"/>
                <w:sz w:val="24"/>
                <w:lang w:val="en-US" w:eastAsia="zh-CN"/>
              </w:rPr>
            </w:pPr>
            <w:r>
              <w:rPr>
                <w:rFonts w:hint="eastAsia" w:ascii="仿宋_GB2312" w:hAnsi="仿宋_GB2312" w:eastAsia="仿宋_GB2312" w:cs="仿宋_GB2312"/>
                <w:lang w:val="en-US" w:eastAsia="zh-CN"/>
              </w:rPr>
              <w:t>18277.7656</w:t>
            </w:r>
          </w:p>
        </w:tc>
      </w:tr>
    </w:tbl>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Cs/>
          <w:color w:val="333333"/>
          <w:sz w:val="32"/>
          <w:szCs w:val="32"/>
          <w:shd w:val="clear" w:color="auto" w:fill="FFFFFF"/>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Cs/>
          <w:color w:val="333333"/>
          <w:sz w:val="32"/>
          <w:szCs w:val="32"/>
          <w:shd w:val="clear" w:color="auto" w:fill="FFFFFF"/>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Cs/>
          <w:color w:val="333333"/>
          <w:sz w:val="32"/>
          <w:szCs w:val="32"/>
          <w:shd w:val="clear" w:color="auto" w:fill="FFFFFF"/>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Cs/>
          <w:color w:val="333333"/>
          <w:sz w:val="32"/>
          <w:szCs w:val="32"/>
          <w:shd w:val="clear" w:color="auto" w:fill="FFFFFF"/>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Cs/>
          <w:color w:val="333333"/>
          <w:sz w:val="32"/>
          <w:szCs w:val="32"/>
          <w:shd w:val="clear" w:color="auto" w:fill="FFFFFF"/>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Cs/>
          <w:color w:val="333333"/>
          <w:sz w:val="32"/>
          <w:szCs w:val="32"/>
          <w:shd w:val="clear" w:color="auto" w:fill="FFFFFF"/>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Cs/>
          <w:color w:val="333333"/>
          <w:sz w:val="32"/>
          <w:szCs w:val="32"/>
          <w:shd w:val="clear" w:color="auto" w:fill="FFFFFF"/>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Cs/>
          <w:color w:val="333333"/>
          <w:sz w:val="32"/>
          <w:szCs w:val="32"/>
          <w:shd w:val="clear" w:color="auto" w:fill="FFFFFF"/>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Cs/>
          <w:color w:val="333333"/>
          <w:sz w:val="32"/>
          <w:szCs w:val="32"/>
          <w:shd w:val="clear" w:color="auto" w:fill="FFFFFF"/>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Cs/>
          <w:color w:val="333333"/>
          <w:sz w:val="32"/>
          <w:szCs w:val="32"/>
          <w:shd w:val="clear" w:color="auto" w:fill="FFFFFF"/>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Cs/>
          <w:color w:val="333333"/>
          <w:sz w:val="32"/>
          <w:szCs w:val="32"/>
          <w:shd w:val="clear" w:color="auto" w:fill="FFFFFF"/>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Cs/>
          <w:color w:val="333333"/>
          <w:sz w:val="32"/>
          <w:szCs w:val="32"/>
          <w:shd w:val="clear" w:color="auto" w:fill="FFFFFF"/>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Cs/>
          <w:color w:val="333333"/>
          <w:sz w:val="32"/>
          <w:szCs w:val="32"/>
          <w:shd w:val="clear" w:color="auto" w:fill="FFFFFF"/>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Cs/>
          <w:color w:val="333333"/>
          <w:sz w:val="32"/>
          <w:szCs w:val="32"/>
          <w:shd w:val="clear" w:color="auto" w:fill="FFFFFF"/>
        </w:rPr>
      </w:pPr>
      <w:r>
        <w:rPr>
          <w:rFonts w:hint="eastAsia" w:ascii="黑体" w:hAnsi="黑体" w:eastAsia="黑体" w:cs="黑体"/>
          <w:bCs/>
          <w:color w:val="333333"/>
          <w:sz w:val="32"/>
          <w:szCs w:val="32"/>
          <w:shd w:val="clear" w:color="auto" w:fill="FFFFFF"/>
        </w:rPr>
        <w:t>三、收到和处理政府信息公开申请情况</w:t>
      </w:r>
    </w:p>
    <w:tbl>
      <w:tblPr>
        <w:tblStyle w:val="5"/>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widowControl/>
              <w:jc w:val="left"/>
            </w:pPr>
          </w:p>
        </w:tc>
        <w:tc>
          <w:tcPr>
            <w:tcW w:w="4817" w:type="dxa"/>
            <w:gridSpan w:val="7"/>
            <w:tcBorders>
              <w:top w:val="single" w:color="auto" w:sz="8" w:space="0"/>
              <w:left w:val="nil"/>
              <w:bottom w:val="single" w:color="auto" w:sz="8" w:space="0"/>
              <w:right w:val="single" w:color="auto" w:sz="8" w:space="0"/>
            </w:tcBorders>
            <w:noWrap w:val="0"/>
            <w:tcMar>
              <w:left w:w="57" w:type="dxa"/>
              <w:right w:w="57" w:type="dxa"/>
            </w:tcMar>
            <w:vAlign w:val="center"/>
          </w:tcPr>
          <w:p>
            <w:pPr>
              <w:widowControl/>
              <w:jc w:val="center"/>
            </w:pPr>
            <w:r>
              <w:rPr>
                <w:rFonts w:hint="eastAsia" w:ascii="宋体" w:hAnsi="宋体" w:cs="宋体"/>
                <w:kern w:val="0"/>
                <w:sz w:val="20"/>
                <w:szCs w:val="20"/>
                <w:lang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rPr>
                <w:rFonts w:hint="eastAsia" w:ascii="宋体"/>
                <w:sz w:val="24"/>
              </w:rPr>
            </w:pPr>
          </w:p>
        </w:tc>
        <w:tc>
          <w:tcPr>
            <w:tcW w:w="688" w:type="dxa"/>
            <w:vMerge w:val="restart"/>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pPr>
            <w:r>
              <w:rPr>
                <w:rFonts w:hint="eastAsia" w:ascii="宋体" w:hAnsi="宋体" w:cs="宋体"/>
                <w:kern w:val="0"/>
                <w:sz w:val="20"/>
                <w:szCs w:val="20"/>
                <w:lang w:bidi="ar"/>
              </w:rPr>
              <w:t>自然人</w:t>
            </w:r>
          </w:p>
        </w:tc>
        <w:tc>
          <w:tcPr>
            <w:tcW w:w="3440" w:type="dxa"/>
            <w:gridSpan w:val="5"/>
            <w:tcBorders>
              <w:top w:val="single" w:color="auto" w:sz="8" w:space="0"/>
              <w:left w:val="single" w:color="auto" w:sz="0" w:space="0"/>
              <w:bottom w:val="single" w:color="auto" w:sz="8" w:space="0"/>
              <w:right w:val="single" w:color="auto" w:sz="8" w:space="0"/>
            </w:tcBorders>
            <w:noWrap w:val="0"/>
            <w:tcMar>
              <w:left w:w="57" w:type="dxa"/>
              <w:right w:w="57" w:type="dxa"/>
            </w:tcMar>
            <w:vAlign w:val="center"/>
          </w:tcPr>
          <w:p>
            <w:pPr>
              <w:widowControl/>
              <w:jc w:val="center"/>
            </w:pPr>
            <w:r>
              <w:rPr>
                <w:rFonts w:hint="eastAsia" w:ascii="宋体" w:hAnsi="宋体" w:cs="宋体"/>
                <w:kern w:val="0"/>
                <w:sz w:val="20"/>
                <w:szCs w:val="20"/>
                <w:lang w:bidi="ar"/>
              </w:rPr>
              <w:t>法人或其他组织</w:t>
            </w:r>
          </w:p>
        </w:tc>
        <w:tc>
          <w:tcPr>
            <w:tcW w:w="689" w:type="dxa"/>
            <w:vMerge w:val="restart"/>
            <w:tcBorders>
              <w:top w:val="single" w:color="auto" w:sz="8" w:space="0"/>
              <w:left w:val="single" w:color="auto" w:sz="0" w:space="0"/>
              <w:bottom w:val="outset" w:color="auto" w:sz="8" w:space="0"/>
              <w:right w:val="single" w:color="auto" w:sz="8" w:space="0"/>
            </w:tcBorders>
            <w:noWrap w:val="0"/>
            <w:tcMar>
              <w:left w:w="57" w:type="dxa"/>
              <w:right w:w="57" w:type="dxa"/>
            </w:tcMar>
            <w:vAlign w:val="center"/>
          </w:tcPr>
          <w:p>
            <w:pPr>
              <w:widowControl/>
              <w:jc w:val="center"/>
            </w:pPr>
            <w:r>
              <w:rPr>
                <w:rFonts w:hint="eastAsia" w:ascii="宋体" w:hAnsi="宋体" w:cs="宋体"/>
                <w:kern w:val="0"/>
                <w:sz w:val="20"/>
                <w:szCs w:val="20"/>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rPr>
                <w:rFonts w:hint="eastAsia" w:ascii="宋体"/>
                <w:sz w:val="24"/>
              </w:rPr>
            </w:pPr>
          </w:p>
        </w:tc>
        <w:tc>
          <w:tcPr>
            <w:tcW w:w="688" w:type="dxa"/>
            <w:vMerge w:val="continue"/>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rPr>
                <w:rFonts w:hint="eastAsia" w:ascii="宋体"/>
                <w:sz w:val="24"/>
              </w:rPr>
            </w:pP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pPr>
            <w:r>
              <w:rPr>
                <w:rFonts w:hint="eastAsia" w:ascii="宋体" w:hAnsi="宋体" w:cs="宋体"/>
                <w:kern w:val="0"/>
                <w:sz w:val="20"/>
                <w:szCs w:val="20"/>
                <w:lang w:bidi="ar"/>
              </w:rPr>
              <w:t>商业</w:t>
            </w:r>
          </w:p>
          <w:p>
            <w:pPr>
              <w:widowControl/>
              <w:jc w:val="center"/>
            </w:pPr>
            <w:r>
              <w:rPr>
                <w:rFonts w:hint="eastAsia" w:ascii="宋体" w:hAnsi="宋体" w:cs="宋体"/>
                <w:kern w:val="0"/>
                <w:sz w:val="20"/>
                <w:szCs w:val="20"/>
                <w:lang w:bidi="ar"/>
              </w:rPr>
              <w:t>企业</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pPr>
            <w:r>
              <w:rPr>
                <w:rFonts w:hint="eastAsia" w:ascii="宋体" w:hAnsi="宋体" w:cs="宋体"/>
                <w:kern w:val="0"/>
                <w:sz w:val="20"/>
                <w:szCs w:val="20"/>
                <w:lang w:bidi="ar"/>
              </w:rPr>
              <w:t>科研</w:t>
            </w:r>
          </w:p>
          <w:p>
            <w:pPr>
              <w:widowControl/>
              <w:jc w:val="center"/>
            </w:pPr>
            <w:r>
              <w:rPr>
                <w:rFonts w:hint="eastAsia" w:ascii="宋体" w:hAnsi="宋体" w:cs="宋体"/>
                <w:kern w:val="0"/>
                <w:sz w:val="20"/>
                <w:szCs w:val="20"/>
                <w:lang w:bidi="ar"/>
              </w:rPr>
              <w:t>机构</w:t>
            </w:r>
          </w:p>
        </w:tc>
        <w:tc>
          <w:tcPr>
            <w:tcW w:w="688" w:type="dxa"/>
            <w:tcBorders>
              <w:top w:val="single" w:color="auto" w:sz="8" w:space="0"/>
              <w:left w:val="single" w:color="auto" w:sz="0" w:space="0"/>
              <w:bottom w:val="single" w:color="auto" w:sz="8" w:space="0"/>
              <w:right w:val="single" w:color="auto" w:sz="8" w:space="0"/>
            </w:tcBorders>
            <w:noWrap w:val="0"/>
            <w:tcMar>
              <w:left w:w="57" w:type="dxa"/>
              <w:right w:w="57" w:type="dxa"/>
            </w:tcMar>
            <w:vAlign w:val="center"/>
          </w:tcPr>
          <w:p>
            <w:pPr>
              <w:widowControl/>
              <w:jc w:val="center"/>
            </w:pPr>
            <w:r>
              <w:rPr>
                <w:rFonts w:hint="eastAsia" w:ascii="宋体" w:hAnsi="宋体" w:cs="宋体"/>
                <w:kern w:val="0"/>
                <w:sz w:val="20"/>
                <w:szCs w:val="20"/>
                <w:lang w:bidi="ar"/>
              </w:rPr>
              <w:t>社会公益组织</w:t>
            </w:r>
          </w:p>
        </w:tc>
        <w:tc>
          <w:tcPr>
            <w:tcW w:w="688" w:type="dxa"/>
            <w:tcBorders>
              <w:top w:val="single" w:color="auto" w:sz="8" w:space="0"/>
              <w:left w:val="single" w:color="auto" w:sz="0" w:space="0"/>
              <w:bottom w:val="single" w:color="auto" w:sz="8" w:space="0"/>
              <w:right w:val="single" w:color="auto" w:sz="8" w:space="0"/>
            </w:tcBorders>
            <w:noWrap w:val="0"/>
            <w:tcMar>
              <w:left w:w="57" w:type="dxa"/>
              <w:right w:w="57" w:type="dxa"/>
            </w:tcMar>
            <w:vAlign w:val="center"/>
          </w:tcPr>
          <w:p>
            <w:pPr>
              <w:widowControl/>
              <w:jc w:val="center"/>
            </w:pPr>
            <w:r>
              <w:rPr>
                <w:rFonts w:hint="eastAsia" w:ascii="宋体" w:hAnsi="宋体" w:cs="宋体"/>
                <w:kern w:val="0"/>
                <w:sz w:val="20"/>
                <w:szCs w:val="20"/>
                <w:lang w:bidi="ar"/>
              </w:rPr>
              <w:t>法律服务机构</w:t>
            </w:r>
          </w:p>
        </w:tc>
        <w:tc>
          <w:tcPr>
            <w:tcW w:w="688" w:type="dxa"/>
            <w:tcBorders>
              <w:top w:val="single" w:color="auto" w:sz="8" w:space="0"/>
              <w:left w:val="single" w:color="auto" w:sz="0" w:space="0"/>
              <w:bottom w:val="single" w:color="auto" w:sz="8" w:space="0"/>
              <w:right w:val="single" w:color="auto" w:sz="8" w:space="0"/>
            </w:tcBorders>
            <w:noWrap w:val="0"/>
            <w:tcMar>
              <w:left w:w="57" w:type="dxa"/>
              <w:right w:w="57" w:type="dxa"/>
            </w:tcMar>
            <w:vAlign w:val="center"/>
          </w:tcPr>
          <w:p>
            <w:pPr>
              <w:widowControl/>
              <w:jc w:val="center"/>
            </w:pPr>
            <w:r>
              <w:rPr>
                <w:rFonts w:hint="eastAsia" w:ascii="宋体" w:hAnsi="宋体" w:cs="宋体"/>
                <w:kern w:val="0"/>
                <w:sz w:val="20"/>
                <w:szCs w:val="20"/>
                <w:lang w:bidi="ar"/>
              </w:rPr>
              <w:t>其他</w:t>
            </w:r>
          </w:p>
        </w:tc>
        <w:tc>
          <w:tcPr>
            <w:tcW w:w="689" w:type="dxa"/>
            <w:vMerge w:val="continue"/>
            <w:tcBorders>
              <w:top w:val="single" w:color="auto" w:sz="8" w:space="0"/>
              <w:left w:val="single" w:color="auto" w:sz="0" w:space="0"/>
              <w:bottom w:val="outset" w:color="auto" w:sz="8" w:space="0"/>
              <w:right w:val="single" w:color="auto" w:sz="8" w:space="0"/>
            </w:tcBorders>
            <w:noWrap w:val="0"/>
            <w:tcMar>
              <w:left w:w="57" w:type="dxa"/>
              <w:right w:w="57" w:type="dxa"/>
            </w:tcMar>
            <w:vAlign w:val="center"/>
          </w:tcPr>
          <w:p>
            <w:pPr>
              <w:rPr>
                <w:rFonts w:hint="eastAsia" w:ascii="宋体"/>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left"/>
            </w:pPr>
            <w:r>
              <w:rPr>
                <w:rFonts w:hint="eastAsia" w:ascii="宋体" w:hAnsi="宋体" w:cs="宋体"/>
                <w:kern w:val="0"/>
                <w:sz w:val="20"/>
                <w:szCs w:val="20"/>
                <w:lang w:bidi="ar"/>
              </w:rPr>
              <w:t>一、本年新收政府信息公开申请数量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15</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15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left"/>
            </w:pPr>
            <w:r>
              <w:rPr>
                <w:rFonts w:hint="eastAsia" w:ascii="宋体" w:hAnsi="宋体" w:cs="宋体"/>
                <w:kern w:val="0"/>
                <w:sz w:val="20"/>
                <w:szCs w:val="20"/>
                <w:lang w:bidi="ar"/>
              </w:rPr>
              <w:t>二、上年结转政府信息公开申请数量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restart"/>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widowControl/>
              <w:jc w:val="left"/>
            </w:pPr>
            <w:r>
              <w:rPr>
                <w:rFonts w:hint="eastAsia" w:ascii="宋体" w:hAnsi="宋体" w:cs="宋体"/>
                <w:kern w:val="0"/>
                <w:sz w:val="20"/>
                <w:szCs w:val="20"/>
                <w:lang w:bidi="ar"/>
              </w:rPr>
              <w:t>三、本年度办理结果</w:t>
            </w:r>
          </w:p>
        </w:tc>
        <w:tc>
          <w:tcPr>
            <w:tcW w:w="4163" w:type="dxa"/>
            <w:gridSpan w:val="2"/>
            <w:tcBorders>
              <w:top w:val="nil"/>
              <w:left w:val="nil"/>
              <w:bottom w:val="single" w:color="auto" w:sz="8" w:space="0"/>
              <w:right w:val="single" w:color="auto" w:sz="8" w:space="0"/>
            </w:tcBorders>
            <w:noWrap w:val="0"/>
            <w:tcMar>
              <w:left w:w="57" w:type="dxa"/>
              <w:right w:w="57" w:type="dxa"/>
            </w:tcMar>
            <w:vAlign w:val="center"/>
          </w:tcPr>
          <w:p>
            <w:pPr>
              <w:widowControl/>
              <w:jc w:val="left"/>
            </w:pPr>
            <w:r>
              <w:rPr>
                <w:rFonts w:hint="eastAsia" w:ascii="宋体" w:hAnsi="宋体" w:cs="宋体"/>
                <w:kern w:val="0"/>
                <w:sz w:val="20"/>
                <w:szCs w:val="20"/>
                <w:lang w:bidi="ar"/>
              </w:rPr>
              <w:t>（一）予以公开</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8</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9" w:type="dxa"/>
            <w:tcBorders>
              <w:top w:val="single" w:color="auto" w:sz="8" w:space="0"/>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rPr>
            </w:pPr>
          </w:p>
        </w:tc>
        <w:tc>
          <w:tcPr>
            <w:tcW w:w="4163" w:type="dxa"/>
            <w:gridSpan w:val="2"/>
            <w:tcBorders>
              <w:top w:val="nil"/>
              <w:left w:val="nil"/>
              <w:bottom w:val="single" w:color="auto" w:sz="8" w:space="0"/>
              <w:right w:val="single" w:color="auto" w:sz="8" w:space="0"/>
            </w:tcBorders>
            <w:noWrap w:val="0"/>
            <w:tcMar>
              <w:left w:w="57" w:type="dxa"/>
              <w:right w:w="57" w:type="dxa"/>
            </w:tcMar>
            <w:vAlign w:val="center"/>
          </w:tcPr>
          <w:p>
            <w:pPr>
              <w:widowControl/>
              <w:jc w:val="left"/>
            </w:pPr>
            <w:r>
              <w:rPr>
                <w:rFonts w:hint="eastAsia" w:ascii="宋体" w:hAnsi="宋体" w:cs="宋体"/>
                <w:kern w:val="0"/>
                <w:sz w:val="20"/>
                <w:szCs w:val="20"/>
                <w:lang w:bidi="ar"/>
              </w:rPr>
              <w:t>（二）部分公开</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2</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rPr>
            </w:pPr>
          </w:p>
        </w:tc>
        <w:tc>
          <w:tcPr>
            <w:tcW w:w="943" w:type="dxa"/>
            <w:vMerge w:val="restart"/>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jc w:val="left"/>
            </w:pPr>
            <w:r>
              <w:rPr>
                <w:rFonts w:hint="eastAsia" w:ascii="宋体" w:hAnsi="宋体" w:cs="宋体"/>
                <w:kern w:val="0"/>
                <w:sz w:val="20"/>
                <w:szCs w:val="20"/>
                <w:lang w:bidi="ar"/>
              </w:rPr>
              <w:t>（三）不予公开</w:t>
            </w:r>
          </w:p>
        </w:tc>
        <w:tc>
          <w:tcPr>
            <w:tcW w:w="3220" w:type="dxa"/>
            <w:tcBorders>
              <w:top w:val="nil"/>
              <w:left w:val="nil"/>
              <w:bottom w:val="single" w:color="auto" w:sz="8" w:space="0"/>
              <w:right w:val="single" w:color="auto" w:sz="8" w:space="0"/>
            </w:tcBorders>
            <w:noWrap w:val="0"/>
            <w:tcMar>
              <w:left w:w="57" w:type="dxa"/>
              <w:right w:w="57" w:type="dxa"/>
            </w:tcMar>
            <w:vAlign w:val="top"/>
          </w:tcPr>
          <w:p>
            <w:pPr>
              <w:widowControl/>
              <w:jc w:val="left"/>
            </w:pPr>
            <w:r>
              <w:rPr>
                <w:rFonts w:hint="eastAsia" w:ascii="宋体" w:hAnsi="宋体" w:cs="宋体"/>
                <w:kern w:val="0"/>
                <w:sz w:val="20"/>
                <w:szCs w:val="20"/>
                <w:lang w:bidi="ar"/>
              </w:rPr>
              <w:t>1.属于国家秘密</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default"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0</w:t>
            </w:r>
          </w:p>
        </w:tc>
        <w:tc>
          <w:tcPr>
            <w:tcW w:w="689" w:type="dxa"/>
            <w:tcBorders>
              <w:top w:val="single" w:color="auto" w:sz="8" w:space="0"/>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rPr>
            </w:pPr>
          </w:p>
        </w:tc>
        <w:tc>
          <w:tcPr>
            <w:tcW w:w="943"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rPr>
                <w:rFonts w:hint="eastAsia" w:ascii="宋体"/>
                <w:sz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widowControl/>
              <w:jc w:val="left"/>
            </w:pPr>
            <w:r>
              <w:rPr>
                <w:rFonts w:hint="eastAsia" w:ascii="宋体" w:hAnsi="宋体" w:cs="宋体"/>
                <w:kern w:val="0"/>
                <w:sz w:val="20"/>
                <w:szCs w:val="20"/>
                <w:lang w:bidi="ar"/>
              </w:rPr>
              <w:t>2.其他法律行政法规禁止公开</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rPr>
            </w:pPr>
          </w:p>
        </w:tc>
        <w:tc>
          <w:tcPr>
            <w:tcW w:w="943"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rPr>
                <w:rFonts w:hint="eastAsia" w:ascii="宋体"/>
                <w:sz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widowControl/>
              <w:jc w:val="left"/>
            </w:pPr>
            <w:r>
              <w:rPr>
                <w:rFonts w:hint="eastAsia" w:ascii="宋体" w:hAnsi="宋体" w:cs="宋体"/>
                <w:kern w:val="0"/>
                <w:sz w:val="20"/>
                <w:szCs w:val="20"/>
                <w:lang w:bidi="ar"/>
              </w:rPr>
              <w:t>3.危及“三安全一稳定”</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0 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 0</w:t>
            </w:r>
          </w:p>
        </w:tc>
        <w:tc>
          <w:tcPr>
            <w:tcW w:w="689"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rPr>
            </w:pPr>
          </w:p>
        </w:tc>
        <w:tc>
          <w:tcPr>
            <w:tcW w:w="943"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rPr>
                <w:rFonts w:hint="eastAsia" w:ascii="宋体"/>
                <w:sz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widowControl/>
              <w:jc w:val="left"/>
            </w:pPr>
            <w:r>
              <w:rPr>
                <w:rFonts w:hint="eastAsia" w:ascii="宋体" w:hAnsi="宋体" w:cs="宋体"/>
                <w:kern w:val="0"/>
                <w:sz w:val="20"/>
                <w:szCs w:val="20"/>
                <w:lang w:bidi="ar"/>
              </w:rPr>
              <w:t>4.保护第三方合法权益</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 0</w:t>
            </w:r>
          </w:p>
        </w:tc>
        <w:tc>
          <w:tcPr>
            <w:tcW w:w="689"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rPr>
            </w:pPr>
          </w:p>
        </w:tc>
        <w:tc>
          <w:tcPr>
            <w:tcW w:w="943"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rPr>
                <w:rFonts w:hint="eastAsia" w:ascii="宋体"/>
                <w:sz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widowControl/>
              <w:jc w:val="left"/>
            </w:pPr>
            <w:r>
              <w:rPr>
                <w:rFonts w:hint="eastAsia" w:ascii="宋体" w:hAnsi="宋体" w:cs="宋体"/>
                <w:kern w:val="0"/>
                <w:sz w:val="20"/>
                <w:szCs w:val="20"/>
                <w:lang w:bidi="ar"/>
              </w:rPr>
              <w:t>5.属于三类内部事务信息</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 0</w:t>
            </w:r>
          </w:p>
        </w:tc>
        <w:tc>
          <w:tcPr>
            <w:tcW w:w="689"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rPr>
            </w:pPr>
          </w:p>
        </w:tc>
        <w:tc>
          <w:tcPr>
            <w:tcW w:w="943"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rPr>
                <w:rFonts w:hint="eastAsia" w:ascii="宋体"/>
                <w:sz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widowControl/>
              <w:jc w:val="left"/>
            </w:pPr>
            <w:r>
              <w:rPr>
                <w:rFonts w:hint="eastAsia" w:ascii="宋体" w:hAnsi="宋体" w:cs="宋体"/>
                <w:kern w:val="0"/>
                <w:sz w:val="20"/>
                <w:szCs w:val="20"/>
                <w:lang w:bidi="ar"/>
              </w:rPr>
              <w:t>6.属于四类过程性信息</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 0</w:t>
            </w:r>
          </w:p>
        </w:tc>
        <w:tc>
          <w:tcPr>
            <w:tcW w:w="689"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rPr>
            </w:pPr>
          </w:p>
        </w:tc>
        <w:tc>
          <w:tcPr>
            <w:tcW w:w="943"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rPr>
                <w:rFonts w:hint="eastAsia" w:ascii="宋体"/>
                <w:sz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widowControl/>
              <w:jc w:val="left"/>
            </w:pPr>
            <w:r>
              <w:rPr>
                <w:rFonts w:hint="eastAsia" w:ascii="宋体" w:hAnsi="宋体" w:cs="宋体"/>
                <w:kern w:val="0"/>
                <w:sz w:val="20"/>
                <w:szCs w:val="20"/>
                <w:lang w:bidi="ar"/>
              </w:rPr>
              <w:t>7.属于行政执法案卷</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 0</w:t>
            </w:r>
          </w:p>
        </w:tc>
        <w:tc>
          <w:tcPr>
            <w:tcW w:w="689"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rPr>
            </w:pPr>
          </w:p>
        </w:tc>
        <w:tc>
          <w:tcPr>
            <w:tcW w:w="943"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rPr>
                <w:rFonts w:hint="eastAsia" w:ascii="宋体"/>
                <w:sz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widowControl/>
              <w:jc w:val="left"/>
            </w:pPr>
            <w:r>
              <w:rPr>
                <w:rFonts w:hint="eastAsia" w:ascii="宋体" w:hAnsi="宋体" w:cs="宋体"/>
                <w:kern w:val="0"/>
                <w:sz w:val="20"/>
                <w:szCs w:val="20"/>
                <w:lang w:bidi="ar"/>
              </w:rPr>
              <w:t>8.属于行政查询事项</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 0</w:t>
            </w:r>
          </w:p>
        </w:tc>
        <w:tc>
          <w:tcPr>
            <w:tcW w:w="689"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rPr>
            </w:pPr>
          </w:p>
        </w:tc>
        <w:tc>
          <w:tcPr>
            <w:tcW w:w="943" w:type="dxa"/>
            <w:vMerge w:val="restart"/>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jc w:val="left"/>
            </w:pPr>
            <w:r>
              <w:rPr>
                <w:rFonts w:hint="eastAsia" w:ascii="宋体" w:hAnsi="宋体" w:cs="宋体"/>
                <w:kern w:val="0"/>
                <w:sz w:val="20"/>
                <w:szCs w:val="20"/>
                <w:lang w:bidi="ar"/>
              </w:rPr>
              <w:t>（四）无法提供</w:t>
            </w:r>
          </w:p>
        </w:tc>
        <w:tc>
          <w:tcPr>
            <w:tcW w:w="3220" w:type="dxa"/>
            <w:tcBorders>
              <w:top w:val="nil"/>
              <w:left w:val="nil"/>
              <w:bottom w:val="single" w:color="auto" w:sz="8" w:space="0"/>
              <w:right w:val="single" w:color="auto" w:sz="8" w:space="0"/>
            </w:tcBorders>
            <w:noWrap w:val="0"/>
            <w:tcMar>
              <w:left w:w="57" w:type="dxa"/>
              <w:right w:w="57" w:type="dxa"/>
            </w:tcMar>
            <w:vAlign w:val="top"/>
          </w:tcPr>
          <w:p>
            <w:pPr>
              <w:widowControl/>
              <w:jc w:val="left"/>
            </w:pPr>
            <w:r>
              <w:rPr>
                <w:rFonts w:hint="eastAsia" w:ascii="宋体" w:hAnsi="宋体" w:cs="宋体"/>
                <w:kern w:val="0"/>
                <w:sz w:val="20"/>
                <w:szCs w:val="20"/>
                <w:lang w:bidi="ar"/>
              </w:rPr>
              <w:t>1.本机关不掌握相关政府信息</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3</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rPr>
            </w:pPr>
          </w:p>
        </w:tc>
        <w:tc>
          <w:tcPr>
            <w:tcW w:w="943"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rPr>
                <w:rFonts w:hint="eastAsia" w:ascii="宋体"/>
                <w:sz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widowControl/>
              <w:jc w:val="left"/>
            </w:pPr>
            <w:r>
              <w:rPr>
                <w:rFonts w:hint="eastAsia" w:ascii="宋体" w:hAnsi="宋体" w:cs="宋体"/>
                <w:kern w:val="0"/>
                <w:sz w:val="20"/>
                <w:szCs w:val="20"/>
                <w:lang w:bidi="ar"/>
              </w:rPr>
              <w:t>2.没有现成信息需要另行制作</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rPr>
            </w:pPr>
          </w:p>
        </w:tc>
        <w:tc>
          <w:tcPr>
            <w:tcW w:w="943"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rPr>
                <w:rFonts w:hint="eastAsia" w:ascii="宋体"/>
                <w:sz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widowControl/>
              <w:jc w:val="left"/>
            </w:pPr>
            <w:r>
              <w:rPr>
                <w:rFonts w:hint="eastAsia" w:ascii="宋体" w:hAnsi="宋体" w:cs="宋体"/>
                <w:kern w:val="0"/>
                <w:sz w:val="20"/>
                <w:szCs w:val="20"/>
                <w:lang w:bidi="ar"/>
              </w:rPr>
              <w:t>3.补正后申请内容仍不明确</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rPr>
            </w:pPr>
          </w:p>
        </w:tc>
        <w:tc>
          <w:tcPr>
            <w:tcW w:w="943" w:type="dxa"/>
            <w:vMerge w:val="restart"/>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jc w:val="left"/>
            </w:pPr>
            <w:r>
              <w:rPr>
                <w:rFonts w:hint="eastAsia" w:ascii="宋体" w:hAnsi="宋体" w:cs="宋体"/>
                <w:kern w:val="0"/>
                <w:sz w:val="20"/>
                <w:szCs w:val="20"/>
                <w:lang w:bidi="ar"/>
              </w:rPr>
              <w:t>（五）不予处理</w:t>
            </w:r>
          </w:p>
        </w:tc>
        <w:tc>
          <w:tcPr>
            <w:tcW w:w="3220" w:type="dxa"/>
            <w:tcBorders>
              <w:top w:val="nil"/>
              <w:left w:val="nil"/>
              <w:bottom w:val="single" w:color="auto" w:sz="8" w:space="0"/>
              <w:right w:val="single" w:color="auto" w:sz="8" w:space="0"/>
            </w:tcBorders>
            <w:noWrap w:val="0"/>
            <w:tcMar>
              <w:left w:w="57" w:type="dxa"/>
              <w:right w:w="57" w:type="dxa"/>
            </w:tcMar>
            <w:vAlign w:val="top"/>
          </w:tcPr>
          <w:p>
            <w:pPr>
              <w:widowControl/>
              <w:jc w:val="left"/>
            </w:pPr>
            <w:r>
              <w:rPr>
                <w:rFonts w:hint="eastAsia" w:ascii="宋体" w:hAnsi="宋体" w:cs="宋体"/>
                <w:kern w:val="0"/>
                <w:sz w:val="20"/>
                <w:szCs w:val="20"/>
                <w:lang w:bidi="ar"/>
              </w:rPr>
              <w:t>1.信访举报投诉类申请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rPr>
            </w:pPr>
          </w:p>
        </w:tc>
        <w:tc>
          <w:tcPr>
            <w:tcW w:w="943"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rPr>
                <w:rFonts w:hint="eastAsia" w:ascii="宋体"/>
                <w:sz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widowControl/>
              <w:jc w:val="left"/>
            </w:pPr>
            <w:r>
              <w:rPr>
                <w:rFonts w:hint="eastAsia" w:ascii="宋体" w:hAnsi="宋体" w:cs="宋体"/>
                <w:kern w:val="0"/>
                <w:sz w:val="20"/>
                <w:szCs w:val="20"/>
                <w:lang w:bidi="ar"/>
              </w:rPr>
              <w:t>2.重复申请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rPr>
            </w:pPr>
          </w:p>
        </w:tc>
        <w:tc>
          <w:tcPr>
            <w:tcW w:w="943"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rPr>
                <w:rFonts w:hint="eastAsia" w:ascii="宋体"/>
                <w:sz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widowControl/>
              <w:jc w:val="left"/>
            </w:pPr>
            <w:r>
              <w:rPr>
                <w:rFonts w:hint="eastAsia" w:ascii="宋体" w:hAnsi="宋体" w:cs="宋体"/>
                <w:kern w:val="0"/>
                <w:sz w:val="20"/>
                <w:szCs w:val="20"/>
                <w:lang w:bidi="ar"/>
              </w:rPr>
              <w:t>3.要求提供公开出版物</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rPr>
            </w:pPr>
          </w:p>
        </w:tc>
        <w:tc>
          <w:tcPr>
            <w:tcW w:w="943"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rPr>
                <w:rFonts w:hint="eastAsia" w:ascii="宋体"/>
                <w:sz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widowControl/>
              <w:jc w:val="left"/>
            </w:pPr>
            <w:r>
              <w:rPr>
                <w:rFonts w:hint="eastAsia" w:ascii="宋体" w:hAnsi="宋体" w:cs="宋体"/>
                <w:kern w:val="0"/>
                <w:sz w:val="20"/>
                <w:szCs w:val="20"/>
                <w:lang w:bidi="ar"/>
              </w:rPr>
              <w:t>4.无正当理由大量反复申请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9" w:hRule="atLeast"/>
          <w:jc w:val="center"/>
        </w:trPr>
        <w:tc>
          <w:tcPr>
            <w:tcW w:w="768"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rPr>
            </w:pPr>
          </w:p>
        </w:tc>
        <w:tc>
          <w:tcPr>
            <w:tcW w:w="943"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rPr>
                <w:rFonts w:hint="eastAsia" w:ascii="宋体"/>
                <w:sz w:val="24"/>
              </w:rPr>
            </w:pPr>
          </w:p>
        </w:tc>
        <w:tc>
          <w:tcPr>
            <w:tcW w:w="3220"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pPr>
            <w:r>
              <w:rPr>
                <w:rFonts w:hint="eastAsia" w:ascii="宋体" w:hAnsi="宋体" w:cs="宋体"/>
                <w:kern w:val="0"/>
                <w:sz w:val="20"/>
                <w:szCs w:val="20"/>
                <w:lang w:bidi="ar"/>
              </w:rPr>
              <w:t>5.要求行政机关确认或重新出具已获取信息</w:t>
            </w:r>
          </w:p>
        </w:tc>
        <w:tc>
          <w:tcPr>
            <w:tcW w:w="688"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0</w:t>
            </w:r>
          </w:p>
        </w:tc>
        <w:tc>
          <w:tcPr>
            <w:tcW w:w="688"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0</w:t>
            </w:r>
          </w:p>
        </w:tc>
        <w:tc>
          <w:tcPr>
            <w:tcW w:w="688"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0</w:t>
            </w:r>
          </w:p>
        </w:tc>
        <w:tc>
          <w:tcPr>
            <w:tcW w:w="688"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0</w:t>
            </w:r>
          </w:p>
        </w:tc>
        <w:tc>
          <w:tcPr>
            <w:tcW w:w="688"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0</w:t>
            </w:r>
          </w:p>
        </w:tc>
        <w:tc>
          <w:tcPr>
            <w:tcW w:w="688"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0</w:t>
            </w:r>
          </w:p>
        </w:tc>
        <w:tc>
          <w:tcPr>
            <w:tcW w:w="689"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22" w:hRule="atLeast"/>
          <w:jc w:val="center"/>
        </w:trPr>
        <w:tc>
          <w:tcPr>
            <w:tcW w:w="768"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rPr>
            </w:pPr>
          </w:p>
        </w:tc>
        <w:tc>
          <w:tcPr>
            <w:tcW w:w="943" w:type="dxa"/>
            <w:vMerge w:val="restart"/>
            <w:tcBorders>
              <w:top w:val="outset" w:color="auto" w:sz="8" w:space="0"/>
              <w:left w:val="single" w:color="auto" w:sz="0" w:space="0"/>
              <w:bottom w:val="outset" w:color="auto" w:sz="8" w:space="0"/>
              <w:right w:val="single" w:color="auto" w:sz="8" w:space="0"/>
            </w:tcBorders>
            <w:noWrap w:val="0"/>
            <w:tcMar>
              <w:left w:w="57" w:type="dxa"/>
              <w:right w:w="57" w:type="dxa"/>
            </w:tcMar>
            <w:vAlign w:val="center"/>
          </w:tcPr>
          <w:p>
            <w:pPr>
              <w:widowControl/>
              <w:jc w:val="left"/>
            </w:pPr>
            <w:r>
              <w:rPr>
                <w:rFonts w:hint="eastAsia" w:ascii="宋体" w:hAnsi="宋体" w:cs="宋体"/>
                <w:kern w:val="0"/>
                <w:sz w:val="20"/>
                <w:szCs w:val="20"/>
                <w:lang w:bidi="ar"/>
              </w:rPr>
              <w:t>（六）其他处理</w:t>
            </w:r>
          </w:p>
        </w:tc>
        <w:tc>
          <w:tcPr>
            <w:tcW w:w="3220" w:type="dxa"/>
            <w:tcBorders>
              <w:top w:val="nil"/>
              <w:left w:val="nil"/>
              <w:bottom w:val="single" w:color="auto" w:sz="8" w:space="0"/>
              <w:right w:val="single" w:color="auto" w:sz="8" w:space="0"/>
            </w:tcBorders>
            <w:noWrap w:val="0"/>
            <w:tcMar>
              <w:left w:w="57" w:type="dxa"/>
              <w:right w:w="57" w:type="dxa"/>
            </w:tcMar>
            <w:vAlign w:val="center"/>
          </w:tcPr>
          <w:p>
            <w:pPr>
              <w:widowControl/>
            </w:pPr>
            <w:r>
              <w:rPr>
                <w:rFonts w:hint="eastAsia" w:ascii="宋体" w:hAnsi="宋体" w:cs="宋体"/>
                <w:kern w:val="0"/>
                <w:sz w:val="20"/>
                <w:szCs w:val="20"/>
                <w:lang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2</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97" w:hRule="atLeast"/>
          <w:jc w:val="center"/>
        </w:trPr>
        <w:tc>
          <w:tcPr>
            <w:tcW w:w="768"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rPr>
            </w:pPr>
          </w:p>
        </w:tc>
        <w:tc>
          <w:tcPr>
            <w:tcW w:w="943" w:type="dxa"/>
            <w:vMerge w:val="continue"/>
            <w:tcBorders>
              <w:top w:val="outset" w:color="auto" w:sz="8" w:space="0"/>
              <w:left w:val="single" w:color="auto" w:sz="0" w:space="0"/>
              <w:bottom w:val="outset" w:color="auto" w:sz="8" w:space="0"/>
              <w:right w:val="single" w:color="auto" w:sz="8" w:space="0"/>
            </w:tcBorders>
            <w:noWrap w:val="0"/>
            <w:tcMar>
              <w:left w:w="57" w:type="dxa"/>
              <w:right w:w="57" w:type="dxa"/>
            </w:tcMar>
            <w:vAlign w:val="center"/>
          </w:tcPr>
          <w:p>
            <w:pPr>
              <w:rPr>
                <w:rFonts w:hint="eastAsia" w:ascii="宋体"/>
                <w:sz w:val="24"/>
              </w:rPr>
            </w:pPr>
          </w:p>
        </w:tc>
        <w:tc>
          <w:tcPr>
            <w:tcW w:w="3220" w:type="dxa"/>
            <w:tcBorders>
              <w:top w:val="nil"/>
              <w:left w:val="nil"/>
              <w:bottom w:val="single" w:color="auto" w:sz="8" w:space="0"/>
              <w:right w:val="single" w:color="auto" w:sz="8" w:space="0"/>
            </w:tcBorders>
            <w:noWrap w:val="0"/>
            <w:tcMar>
              <w:left w:w="57" w:type="dxa"/>
              <w:right w:w="57" w:type="dxa"/>
            </w:tcMar>
            <w:vAlign w:val="center"/>
          </w:tcPr>
          <w:p>
            <w:pPr>
              <w:widowControl/>
            </w:pPr>
            <w:r>
              <w:rPr>
                <w:rFonts w:hint="eastAsia" w:ascii="宋体" w:hAnsi="宋体" w:cs="宋体"/>
                <w:kern w:val="0"/>
                <w:sz w:val="20"/>
                <w:szCs w:val="20"/>
                <w:lang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rPr>
            </w:pPr>
          </w:p>
        </w:tc>
        <w:tc>
          <w:tcPr>
            <w:tcW w:w="943" w:type="dxa"/>
            <w:vMerge w:val="continue"/>
            <w:tcBorders>
              <w:top w:val="outset" w:color="auto" w:sz="8" w:space="0"/>
              <w:left w:val="single" w:color="auto" w:sz="0" w:space="0"/>
              <w:bottom w:val="outset" w:color="auto" w:sz="8" w:space="0"/>
              <w:right w:val="single" w:color="auto" w:sz="8" w:space="0"/>
            </w:tcBorders>
            <w:noWrap w:val="0"/>
            <w:tcMar>
              <w:left w:w="57" w:type="dxa"/>
              <w:right w:w="57" w:type="dxa"/>
            </w:tcMar>
            <w:vAlign w:val="center"/>
          </w:tcPr>
          <w:p>
            <w:pPr>
              <w:rPr>
                <w:rFonts w:hint="eastAsia" w:ascii="宋体"/>
                <w:sz w:val="24"/>
              </w:rPr>
            </w:pPr>
          </w:p>
        </w:tc>
        <w:tc>
          <w:tcPr>
            <w:tcW w:w="3220" w:type="dxa"/>
            <w:tcBorders>
              <w:top w:val="nil"/>
              <w:left w:val="nil"/>
              <w:bottom w:val="single" w:color="auto" w:sz="8" w:space="0"/>
              <w:right w:val="single" w:color="auto" w:sz="8" w:space="0"/>
            </w:tcBorders>
            <w:noWrap w:val="0"/>
            <w:tcMar>
              <w:left w:w="57" w:type="dxa"/>
              <w:right w:w="57" w:type="dxa"/>
            </w:tcMar>
            <w:vAlign w:val="center"/>
          </w:tcPr>
          <w:p>
            <w:pPr>
              <w:widowControl/>
              <w:jc w:val="left"/>
            </w:pPr>
            <w:r>
              <w:rPr>
                <w:rFonts w:hint="eastAsia" w:ascii="宋体" w:hAnsi="宋体" w:cs="宋体"/>
                <w:kern w:val="0"/>
                <w:sz w:val="20"/>
                <w:szCs w:val="20"/>
                <w:lang w:bidi="ar"/>
              </w:rPr>
              <w:t>3.其他</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rPr>
            </w:pPr>
          </w:p>
        </w:tc>
        <w:tc>
          <w:tcPr>
            <w:tcW w:w="4163" w:type="dxa"/>
            <w:gridSpan w:val="2"/>
            <w:tcBorders>
              <w:top w:val="nil"/>
              <w:left w:val="nil"/>
              <w:bottom w:val="single" w:color="auto" w:sz="8" w:space="0"/>
              <w:right w:val="single" w:color="auto" w:sz="8" w:space="0"/>
            </w:tcBorders>
            <w:noWrap w:val="0"/>
            <w:tcMar>
              <w:left w:w="57" w:type="dxa"/>
              <w:right w:w="57" w:type="dxa"/>
            </w:tcMar>
            <w:vAlign w:val="center"/>
          </w:tcPr>
          <w:p>
            <w:pPr>
              <w:widowControl/>
              <w:jc w:val="left"/>
            </w:pPr>
            <w:r>
              <w:rPr>
                <w:rFonts w:hint="eastAsia" w:ascii="宋体" w:hAnsi="宋体" w:cs="宋体"/>
                <w:kern w:val="0"/>
                <w:sz w:val="20"/>
                <w:szCs w:val="20"/>
                <w:lang w:bidi="ar"/>
              </w:rPr>
              <w:t>（七）总计</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15</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15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left"/>
            </w:pPr>
            <w:r>
              <w:rPr>
                <w:rFonts w:hint="eastAsia" w:ascii="宋体" w:hAnsi="宋体" w:cs="宋体"/>
                <w:kern w:val="0"/>
                <w:sz w:val="20"/>
                <w:szCs w:val="20"/>
                <w:lang w:bidi="ar"/>
              </w:rPr>
              <w:t>四、结转下年度继续办理</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bl>
    <w:p>
      <w:pPr>
        <w:widowControl/>
        <w:spacing w:line="600" w:lineRule="exact"/>
        <w:ind w:firstLine="640" w:firstLineChars="200"/>
        <w:rPr>
          <w:rFonts w:hint="eastAsia" w:ascii="黑体" w:hAnsi="黑体" w:eastAsia="黑体" w:cs="黑体"/>
          <w:bCs/>
          <w:color w:val="333333"/>
          <w:sz w:val="32"/>
          <w:szCs w:val="32"/>
          <w:shd w:val="clear" w:color="auto" w:fill="FFFFFF"/>
        </w:rPr>
      </w:pPr>
    </w:p>
    <w:p>
      <w:pPr>
        <w:widowControl/>
        <w:spacing w:line="600" w:lineRule="exact"/>
        <w:ind w:firstLine="640" w:firstLineChars="200"/>
        <w:rPr>
          <w:rFonts w:hint="eastAsia" w:ascii="黑体" w:hAnsi="黑体" w:eastAsia="黑体" w:cs="黑体"/>
          <w:bCs/>
          <w:color w:val="333333"/>
          <w:sz w:val="32"/>
          <w:szCs w:val="32"/>
          <w:shd w:val="clear" w:color="auto" w:fill="FFFFFF"/>
        </w:rPr>
      </w:pPr>
    </w:p>
    <w:p>
      <w:pPr>
        <w:widowControl/>
        <w:spacing w:line="600" w:lineRule="exact"/>
        <w:ind w:firstLine="640" w:firstLineChars="200"/>
        <w:rPr>
          <w:rFonts w:hint="eastAsia" w:ascii="黑体" w:hAnsi="黑体" w:eastAsia="黑体" w:cs="黑体"/>
          <w:bCs/>
          <w:color w:val="333333"/>
          <w:sz w:val="32"/>
          <w:szCs w:val="32"/>
          <w:shd w:val="clear" w:color="auto" w:fill="FFFFFF"/>
        </w:rPr>
      </w:pPr>
    </w:p>
    <w:p>
      <w:pPr>
        <w:widowControl/>
        <w:spacing w:line="600" w:lineRule="exact"/>
        <w:ind w:firstLine="640" w:firstLineChars="200"/>
        <w:rPr>
          <w:rFonts w:hint="eastAsia" w:ascii="黑体" w:hAnsi="黑体" w:eastAsia="黑体" w:cs="黑体"/>
          <w:bCs/>
          <w:color w:val="333333"/>
          <w:sz w:val="32"/>
          <w:szCs w:val="32"/>
          <w:shd w:val="clear" w:color="auto" w:fill="FFFFFF"/>
        </w:rPr>
      </w:pPr>
      <w:r>
        <w:rPr>
          <w:rFonts w:hint="eastAsia" w:ascii="黑体" w:hAnsi="黑体" w:eastAsia="黑体" w:cs="黑体"/>
          <w:bCs/>
          <w:color w:val="333333"/>
          <w:sz w:val="32"/>
          <w:szCs w:val="32"/>
          <w:shd w:val="clear" w:color="auto" w:fill="FFFFFF"/>
        </w:rPr>
        <w:t>四、政府信息公开行政复议、行政诉讼情况</w:t>
      </w:r>
    </w:p>
    <w:tbl>
      <w:tblPr>
        <w:tblStyle w:val="5"/>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kern w:val="0"/>
                <w:sz w:val="20"/>
                <w:szCs w:val="20"/>
                <w:lang w:bidi="ar"/>
              </w:rPr>
              <w:t>行政复议</w:t>
            </w:r>
          </w:p>
        </w:tc>
        <w:tc>
          <w:tcPr>
            <w:tcW w:w="6503" w:type="dxa"/>
            <w:gridSpan w:val="10"/>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kern w:val="0"/>
                <w:sz w:val="20"/>
                <w:szCs w:val="20"/>
                <w:lang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kern w:val="0"/>
                <w:sz w:val="20"/>
                <w:szCs w:val="20"/>
                <w:lang w:bidi="ar"/>
              </w:rPr>
              <w:t>结果维持</w:t>
            </w:r>
          </w:p>
        </w:tc>
        <w:tc>
          <w:tcPr>
            <w:tcW w:w="649"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纠正</w:t>
            </w:r>
          </w:p>
        </w:tc>
        <w:tc>
          <w:tcPr>
            <w:tcW w:w="64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kern w:val="0"/>
                <w:sz w:val="20"/>
                <w:szCs w:val="20"/>
                <w:lang w:bidi="ar"/>
              </w:rPr>
              <w:t>其他</w:t>
            </w:r>
            <w:r>
              <w:rPr>
                <w:rFonts w:hint="eastAsia" w:ascii="宋体" w:hAnsi="宋体" w:cs="宋体"/>
                <w:kern w:val="0"/>
                <w:sz w:val="20"/>
                <w:szCs w:val="20"/>
                <w:lang w:bidi="ar"/>
              </w:rPr>
              <w:br w:type="textWrapping"/>
            </w:r>
            <w:r>
              <w:rPr>
                <w:rFonts w:hint="eastAsia" w:ascii="宋体" w:hAnsi="宋体" w:cs="宋体"/>
                <w:kern w:val="0"/>
                <w:sz w:val="20"/>
                <w:szCs w:val="20"/>
                <w:lang w:bidi="ar"/>
              </w:rPr>
              <w:t>结果</w:t>
            </w:r>
          </w:p>
        </w:tc>
        <w:tc>
          <w:tcPr>
            <w:tcW w:w="64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kern w:val="0"/>
                <w:sz w:val="20"/>
                <w:szCs w:val="20"/>
                <w:lang w:bidi="ar"/>
              </w:rPr>
              <w:t>尚未</w:t>
            </w:r>
            <w:r>
              <w:rPr>
                <w:rFonts w:hint="eastAsia" w:ascii="宋体" w:hAnsi="宋体" w:cs="宋体"/>
                <w:kern w:val="0"/>
                <w:sz w:val="20"/>
                <w:szCs w:val="20"/>
                <w:lang w:bidi="ar"/>
              </w:rPr>
              <w:br w:type="textWrapping"/>
            </w:r>
            <w:r>
              <w:rPr>
                <w:rFonts w:hint="eastAsia" w:ascii="宋体" w:hAnsi="宋体" w:cs="宋体"/>
                <w:kern w:val="0"/>
                <w:sz w:val="20"/>
                <w:szCs w:val="20"/>
                <w:lang w:bidi="ar"/>
              </w:rPr>
              <w:t>审结</w:t>
            </w:r>
          </w:p>
        </w:tc>
        <w:tc>
          <w:tcPr>
            <w:tcW w:w="64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kern w:val="0"/>
                <w:sz w:val="20"/>
                <w:szCs w:val="20"/>
                <w:lang w:bidi="ar"/>
              </w:rPr>
              <w:t>总计</w:t>
            </w:r>
          </w:p>
        </w:tc>
        <w:tc>
          <w:tcPr>
            <w:tcW w:w="3248"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kern w:val="0"/>
                <w:sz w:val="20"/>
                <w:szCs w:val="20"/>
                <w:lang w:bidi="ar"/>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kern w:val="0"/>
                <w:sz w:val="20"/>
                <w:szCs w:val="20"/>
                <w:lang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维持</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纠正</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kern w:val="0"/>
                <w:sz w:val="20"/>
                <w:szCs w:val="20"/>
                <w:lang w:bidi="ar"/>
              </w:rPr>
              <w:t>其他</w:t>
            </w:r>
            <w:r>
              <w:rPr>
                <w:rFonts w:hint="eastAsia" w:ascii="宋体" w:hAnsi="宋体" w:cs="宋体"/>
                <w:kern w:val="0"/>
                <w:sz w:val="20"/>
                <w:szCs w:val="20"/>
                <w:lang w:bidi="ar"/>
              </w:rPr>
              <w:br w:type="textWrapping"/>
            </w:r>
            <w:r>
              <w:rPr>
                <w:rFonts w:hint="eastAsia" w:ascii="宋体" w:hAnsi="宋体" w:cs="宋体"/>
                <w:kern w:val="0"/>
                <w:sz w:val="20"/>
                <w:szCs w:val="20"/>
                <w:lang w:bidi="ar"/>
              </w:rPr>
              <w:t>结果</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kern w:val="0"/>
                <w:sz w:val="20"/>
                <w:szCs w:val="20"/>
                <w:lang w:bidi="ar"/>
              </w:rPr>
              <w:t>尚未</w:t>
            </w:r>
            <w:r>
              <w:rPr>
                <w:rFonts w:hint="eastAsia" w:ascii="宋体" w:hAnsi="宋体" w:cs="宋体"/>
                <w:kern w:val="0"/>
                <w:sz w:val="20"/>
                <w:szCs w:val="20"/>
                <w:lang w:bidi="ar"/>
              </w:rPr>
              <w:br w:type="textWrapping"/>
            </w:r>
            <w:r>
              <w:rPr>
                <w:rFonts w:hint="eastAsia" w:ascii="宋体" w:hAnsi="宋体" w:cs="宋体"/>
                <w:kern w:val="0"/>
                <w:sz w:val="20"/>
                <w:szCs w:val="20"/>
                <w:lang w:bidi="ar"/>
              </w:rPr>
              <w:t>审结</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color w:val="000000"/>
                <w:kern w:val="0"/>
                <w:sz w:val="20"/>
                <w:szCs w:val="20"/>
                <w:lang w:bidi="ar"/>
              </w:rPr>
              <w:t>总计</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维持</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纠正</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color w:val="000000"/>
                <w:kern w:val="0"/>
                <w:sz w:val="20"/>
                <w:szCs w:val="20"/>
                <w:lang w:bidi="ar"/>
              </w:rPr>
              <w:t>其他</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结果</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kern w:val="0"/>
                <w:sz w:val="20"/>
                <w:szCs w:val="20"/>
                <w:lang w:bidi="ar"/>
              </w:rPr>
              <w:t>尚未</w:t>
            </w:r>
            <w:r>
              <w:rPr>
                <w:rFonts w:hint="eastAsia" w:ascii="宋体" w:hAnsi="宋体" w:cs="宋体"/>
                <w:kern w:val="0"/>
                <w:sz w:val="20"/>
                <w:szCs w:val="20"/>
                <w:lang w:bidi="ar"/>
              </w:rPr>
              <w:br w:type="textWrapping"/>
            </w:r>
            <w:r>
              <w:rPr>
                <w:rFonts w:hint="eastAsia" w:ascii="宋体" w:hAnsi="宋体" w:cs="宋体"/>
                <w:kern w:val="0"/>
                <w:sz w:val="20"/>
                <w:szCs w:val="20"/>
                <w:lang w:bidi="ar"/>
              </w:rPr>
              <w:t>审结</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color w:val="000000"/>
                <w:kern w:val="0"/>
                <w:sz w:val="20"/>
                <w:szCs w:val="20"/>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1</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1</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bl>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Cs/>
          <w:color w:val="333333"/>
          <w:sz w:val="32"/>
          <w:szCs w:val="32"/>
          <w:shd w:val="clear" w:color="auto" w:fill="FFFFFF"/>
        </w:rPr>
      </w:pPr>
      <w:r>
        <w:rPr>
          <w:rFonts w:hint="eastAsia" w:ascii="黑体" w:hAnsi="黑体" w:eastAsia="黑体" w:cs="黑体"/>
          <w:bCs/>
          <w:color w:val="333333"/>
          <w:sz w:val="32"/>
          <w:szCs w:val="32"/>
          <w:shd w:val="clear" w:color="auto" w:fill="FFFFFF"/>
        </w:rPr>
        <w:t>五、存在的主要问题及改进情况</w:t>
      </w:r>
    </w:p>
    <w:p>
      <w:pPr>
        <w:widowControl/>
        <w:spacing w:line="600" w:lineRule="exact"/>
        <w:ind w:firstLine="640" w:firstLineChars="200"/>
        <w:rPr>
          <w:rFonts w:hint="eastAsia" w:ascii="楷体_GB2312" w:hAnsi="楷体_GB2312" w:eastAsia="楷体_GB2312" w:cs="楷体_GB2312"/>
          <w:color w:val="000000"/>
          <w:sz w:val="32"/>
          <w:szCs w:val="32"/>
          <w:lang w:val="en"/>
        </w:rPr>
      </w:pPr>
      <w:r>
        <w:rPr>
          <w:rFonts w:hint="eastAsia" w:ascii="楷体_GB2312" w:hAnsi="楷体_GB2312" w:eastAsia="楷体_GB2312" w:cs="楷体_GB2312"/>
          <w:color w:val="000000"/>
          <w:sz w:val="32"/>
          <w:szCs w:val="32"/>
          <w:lang w:val="en"/>
        </w:rPr>
        <w:t>（一）存在的主要问题</w:t>
      </w:r>
    </w:p>
    <w:p>
      <w:pPr>
        <w:pStyle w:val="2"/>
        <w:keepNext/>
        <w:keepLines/>
        <w:pageBreakBefore w:val="0"/>
        <w:widowControl w:val="0"/>
        <w:kinsoku/>
        <w:wordWrap/>
        <w:overflowPunct/>
        <w:topLinePunct w:val="0"/>
        <w:autoSpaceDE/>
        <w:autoSpaceDN/>
        <w:bidi w:val="0"/>
        <w:adjustRightInd/>
        <w:snapToGrid/>
        <w:spacing w:line="560" w:lineRule="exact"/>
        <w:textAlignment w:val="auto"/>
        <w:rPr>
          <w:rFonts w:hint="default"/>
          <w:highlight w:val="none"/>
          <w:lang w:val="en-US" w:eastAsia="zh-CN"/>
        </w:rPr>
      </w:pPr>
      <w:r>
        <w:rPr>
          <w:rFonts w:hint="eastAsia" w:ascii="仿宋_GB2312" w:hAnsi="仿宋_GB2312" w:eastAsia="仿宋_GB2312" w:cs="仿宋_GB2312"/>
          <w:kern w:val="2"/>
          <w:sz w:val="32"/>
          <w:szCs w:val="40"/>
          <w:highlight w:val="none"/>
          <w:lang w:val="en-US" w:eastAsia="zh-CN" w:bidi="ar-SA"/>
        </w:rPr>
        <w:t>2023年，我局政府信息公开工作取得了一定成效，但仍存在一些不足，主要是政府信息公开专业人才配备还有待进一步加强，目前我局共有5名信息公开专员，仅1名法律专业对口人员，专业人才储备不足。</w:t>
      </w:r>
    </w:p>
    <w:p>
      <w:pPr>
        <w:widowControl/>
        <w:spacing w:line="600" w:lineRule="exact"/>
        <w:ind w:firstLine="640" w:firstLineChars="200"/>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lang w:val="en"/>
        </w:rPr>
        <w:t>（二）</w:t>
      </w:r>
      <w:r>
        <w:rPr>
          <w:rFonts w:hint="eastAsia" w:ascii="楷体_GB2312" w:hAnsi="楷体_GB2312" w:eastAsia="楷体_GB2312" w:cs="楷体_GB2312"/>
          <w:color w:val="000000"/>
          <w:sz w:val="32"/>
          <w:szCs w:val="32"/>
        </w:rPr>
        <w:t>改进措施</w:t>
      </w:r>
    </w:p>
    <w:p>
      <w:pPr>
        <w:widowControl/>
        <w:spacing w:line="600" w:lineRule="exact"/>
        <w:ind w:firstLine="640" w:firstLineChars="200"/>
        <w:rPr>
          <w:rFonts w:hint="eastAsia" w:ascii="仿宋_GB2312" w:hAnsi="仿宋_GB2312" w:eastAsia="仿宋_GB2312" w:cs="仿宋_GB2312"/>
          <w:kern w:val="2"/>
          <w:sz w:val="32"/>
          <w:szCs w:val="40"/>
          <w:highlight w:val="none"/>
          <w:lang w:val="en-US" w:eastAsia="zh-CN" w:bidi="ar-SA"/>
        </w:rPr>
      </w:pPr>
      <w:r>
        <w:rPr>
          <w:rFonts w:hint="eastAsia" w:ascii="仿宋_GB2312" w:hAnsi="仿宋_GB2312" w:eastAsia="仿宋_GB2312" w:cs="仿宋_GB2312"/>
          <w:kern w:val="2"/>
          <w:sz w:val="32"/>
          <w:szCs w:val="40"/>
          <w:highlight w:val="none"/>
          <w:lang w:val="en-US" w:eastAsia="zh-CN" w:bidi="ar-SA"/>
        </w:rPr>
        <w:t>针对已制定的《平湖市自然资源和规划局政务公开工作“一本账”》加强对现有政务公开工作人员的培训，明确政务公开专业人员知识体系和培养模式，开展有效的继续教育和培训，不断提升政务公开专业人员素质和能力水平。</w:t>
      </w:r>
    </w:p>
    <w:p>
      <w:pPr>
        <w:widowControl/>
        <w:spacing w:line="600" w:lineRule="exact"/>
        <w:ind w:firstLine="640" w:firstLineChars="200"/>
        <w:rPr>
          <w:rFonts w:hint="eastAsia" w:ascii="黑体" w:hAnsi="黑体" w:eastAsia="黑体" w:cs="黑体"/>
          <w:bCs/>
          <w:color w:val="333333"/>
          <w:sz w:val="32"/>
          <w:szCs w:val="32"/>
          <w:shd w:val="clear" w:color="auto" w:fill="FFFFFF"/>
        </w:rPr>
      </w:pPr>
      <w:r>
        <w:rPr>
          <w:rFonts w:hint="eastAsia" w:ascii="黑体" w:hAnsi="黑体" w:eastAsia="黑体" w:cs="黑体"/>
          <w:bCs/>
          <w:color w:val="333333"/>
          <w:sz w:val="32"/>
          <w:szCs w:val="32"/>
          <w:shd w:val="clear" w:color="auto" w:fill="FFFFFF"/>
        </w:rPr>
        <w:t>六、其他需要报告的事项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kern w:val="2"/>
          <w:sz w:val="32"/>
          <w:szCs w:val="40"/>
          <w:highlight w:val="none"/>
          <w:lang w:val="en-US" w:eastAsia="zh-CN" w:bidi="ar-SA"/>
        </w:rPr>
      </w:pPr>
      <w:r>
        <w:rPr>
          <w:rFonts w:hint="eastAsia" w:ascii="仿宋_GB2312" w:hAnsi="仿宋_GB2312" w:eastAsia="仿宋_GB2312" w:cs="仿宋_GB2312"/>
          <w:kern w:val="2"/>
          <w:sz w:val="32"/>
          <w:szCs w:val="40"/>
          <w:highlight w:val="none"/>
          <w:lang w:val="en-US" w:eastAsia="zh-CN" w:bidi="ar-SA"/>
        </w:rPr>
        <w:t>依据《政府信息公开信息处理费管理办法》，本年度我局未发出收费通知，未向任何单位或个人收取信息处理费。</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5MGE1Y2ZmOGI1NjIwMTdmZDdhMWYwNGQ2MGVjZWUifQ=="/>
  </w:docVars>
  <w:rsids>
    <w:rsidRoot w:val="00000000"/>
    <w:rsid w:val="004C0647"/>
    <w:rsid w:val="00DE5743"/>
    <w:rsid w:val="01714809"/>
    <w:rsid w:val="01877B89"/>
    <w:rsid w:val="01916C5A"/>
    <w:rsid w:val="029A38EC"/>
    <w:rsid w:val="036B5288"/>
    <w:rsid w:val="03C74BB5"/>
    <w:rsid w:val="041F679F"/>
    <w:rsid w:val="04A942BA"/>
    <w:rsid w:val="04E11CA6"/>
    <w:rsid w:val="04F25C61"/>
    <w:rsid w:val="05942874"/>
    <w:rsid w:val="06253E14"/>
    <w:rsid w:val="06585F98"/>
    <w:rsid w:val="06A116ED"/>
    <w:rsid w:val="06E57385"/>
    <w:rsid w:val="075F2C8F"/>
    <w:rsid w:val="079B25E0"/>
    <w:rsid w:val="08666242"/>
    <w:rsid w:val="086A28C5"/>
    <w:rsid w:val="08BA4CE8"/>
    <w:rsid w:val="092A73FE"/>
    <w:rsid w:val="0956318B"/>
    <w:rsid w:val="09633DCF"/>
    <w:rsid w:val="0A1C108A"/>
    <w:rsid w:val="0ABB08A3"/>
    <w:rsid w:val="0C8D626F"/>
    <w:rsid w:val="0D136775"/>
    <w:rsid w:val="0D5B1B71"/>
    <w:rsid w:val="0D881573"/>
    <w:rsid w:val="0DB241E0"/>
    <w:rsid w:val="0DE620DB"/>
    <w:rsid w:val="0E2D1AB8"/>
    <w:rsid w:val="0EEE56EB"/>
    <w:rsid w:val="0F580DB7"/>
    <w:rsid w:val="0F6B6D3C"/>
    <w:rsid w:val="0FD3668F"/>
    <w:rsid w:val="100625C1"/>
    <w:rsid w:val="10727C56"/>
    <w:rsid w:val="108654B0"/>
    <w:rsid w:val="109951E3"/>
    <w:rsid w:val="11BD75F7"/>
    <w:rsid w:val="124675EC"/>
    <w:rsid w:val="12A52565"/>
    <w:rsid w:val="12BC78AF"/>
    <w:rsid w:val="13906D71"/>
    <w:rsid w:val="13D749A0"/>
    <w:rsid w:val="13E36DF3"/>
    <w:rsid w:val="1448764C"/>
    <w:rsid w:val="14593607"/>
    <w:rsid w:val="14B545B5"/>
    <w:rsid w:val="15190FE8"/>
    <w:rsid w:val="15555977"/>
    <w:rsid w:val="163F4A7E"/>
    <w:rsid w:val="16B0772A"/>
    <w:rsid w:val="16D01B7A"/>
    <w:rsid w:val="17494CAD"/>
    <w:rsid w:val="17872239"/>
    <w:rsid w:val="18846779"/>
    <w:rsid w:val="18E45469"/>
    <w:rsid w:val="199B6470"/>
    <w:rsid w:val="19CF1C75"/>
    <w:rsid w:val="1A587EBD"/>
    <w:rsid w:val="1AF916A0"/>
    <w:rsid w:val="1B5468D6"/>
    <w:rsid w:val="1B632FBD"/>
    <w:rsid w:val="1BD87507"/>
    <w:rsid w:val="1BE13EE2"/>
    <w:rsid w:val="1BE55780"/>
    <w:rsid w:val="1C1E5DF5"/>
    <w:rsid w:val="1D091942"/>
    <w:rsid w:val="1D434E54"/>
    <w:rsid w:val="1DA67191"/>
    <w:rsid w:val="1DA750FA"/>
    <w:rsid w:val="1E087E4C"/>
    <w:rsid w:val="1E1E141D"/>
    <w:rsid w:val="1E5866DD"/>
    <w:rsid w:val="1E696B3C"/>
    <w:rsid w:val="1EDC5972"/>
    <w:rsid w:val="1F413615"/>
    <w:rsid w:val="1FEA15B7"/>
    <w:rsid w:val="1FF74FAE"/>
    <w:rsid w:val="200B777F"/>
    <w:rsid w:val="2035413E"/>
    <w:rsid w:val="20D12777"/>
    <w:rsid w:val="215313DE"/>
    <w:rsid w:val="21DC5877"/>
    <w:rsid w:val="21E5472C"/>
    <w:rsid w:val="21FC7CC7"/>
    <w:rsid w:val="22001566"/>
    <w:rsid w:val="22833F45"/>
    <w:rsid w:val="23B5012E"/>
    <w:rsid w:val="23DA7B95"/>
    <w:rsid w:val="23F32A04"/>
    <w:rsid w:val="243C084F"/>
    <w:rsid w:val="24942439"/>
    <w:rsid w:val="24C820E3"/>
    <w:rsid w:val="24E2467D"/>
    <w:rsid w:val="2536529E"/>
    <w:rsid w:val="254C4AC2"/>
    <w:rsid w:val="2564005E"/>
    <w:rsid w:val="257007B0"/>
    <w:rsid w:val="25951FC5"/>
    <w:rsid w:val="25C74149"/>
    <w:rsid w:val="25E5691F"/>
    <w:rsid w:val="26013AFE"/>
    <w:rsid w:val="2624159B"/>
    <w:rsid w:val="271909D4"/>
    <w:rsid w:val="27427F2B"/>
    <w:rsid w:val="27B23302"/>
    <w:rsid w:val="27C43035"/>
    <w:rsid w:val="28537F15"/>
    <w:rsid w:val="293D309F"/>
    <w:rsid w:val="29564161"/>
    <w:rsid w:val="29B82726"/>
    <w:rsid w:val="29BB3FC4"/>
    <w:rsid w:val="2B0B15B0"/>
    <w:rsid w:val="2B0F6376"/>
    <w:rsid w:val="2B726905"/>
    <w:rsid w:val="2C6D5A4A"/>
    <w:rsid w:val="2CAA45D4"/>
    <w:rsid w:val="2DB63420"/>
    <w:rsid w:val="2DC53663"/>
    <w:rsid w:val="2E214B8D"/>
    <w:rsid w:val="2E620EB2"/>
    <w:rsid w:val="2F2A5E74"/>
    <w:rsid w:val="2F4F58DB"/>
    <w:rsid w:val="2FB614B6"/>
    <w:rsid w:val="2FC00586"/>
    <w:rsid w:val="30077F63"/>
    <w:rsid w:val="302C5C1C"/>
    <w:rsid w:val="3082583C"/>
    <w:rsid w:val="308279F9"/>
    <w:rsid w:val="30DC319E"/>
    <w:rsid w:val="30E97669"/>
    <w:rsid w:val="32B06690"/>
    <w:rsid w:val="32FC18D5"/>
    <w:rsid w:val="3321758E"/>
    <w:rsid w:val="33775400"/>
    <w:rsid w:val="33923FE8"/>
    <w:rsid w:val="33E0075C"/>
    <w:rsid w:val="33E47038"/>
    <w:rsid w:val="33F97BC3"/>
    <w:rsid w:val="34B54432"/>
    <w:rsid w:val="360500B3"/>
    <w:rsid w:val="3608233F"/>
    <w:rsid w:val="369260AD"/>
    <w:rsid w:val="36A209E6"/>
    <w:rsid w:val="374D654E"/>
    <w:rsid w:val="37FC5ED4"/>
    <w:rsid w:val="387B14EE"/>
    <w:rsid w:val="39311BAD"/>
    <w:rsid w:val="3934169D"/>
    <w:rsid w:val="39495149"/>
    <w:rsid w:val="3A3758E9"/>
    <w:rsid w:val="3A900B55"/>
    <w:rsid w:val="3B985F13"/>
    <w:rsid w:val="3BD50F16"/>
    <w:rsid w:val="3C9E39FD"/>
    <w:rsid w:val="3CD72A6B"/>
    <w:rsid w:val="3D053A7C"/>
    <w:rsid w:val="3DC2371B"/>
    <w:rsid w:val="3DE73182"/>
    <w:rsid w:val="3FF34060"/>
    <w:rsid w:val="400C5122"/>
    <w:rsid w:val="40B557B9"/>
    <w:rsid w:val="41EF2769"/>
    <w:rsid w:val="443F5AC6"/>
    <w:rsid w:val="448D4A83"/>
    <w:rsid w:val="449B0822"/>
    <w:rsid w:val="45252F0E"/>
    <w:rsid w:val="456B1A5D"/>
    <w:rsid w:val="46155B08"/>
    <w:rsid w:val="466C06C8"/>
    <w:rsid w:val="469D4D26"/>
    <w:rsid w:val="46A2058E"/>
    <w:rsid w:val="474156B1"/>
    <w:rsid w:val="474161CA"/>
    <w:rsid w:val="48E52A86"/>
    <w:rsid w:val="48FC21D7"/>
    <w:rsid w:val="496F29A9"/>
    <w:rsid w:val="4BC114B6"/>
    <w:rsid w:val="4D88228C"/>
    <w:rsid w:val="4F37130A"/>
    <w:rsid w:val="4F3B1580"/>
    <w:rsid w:val="50615016"/>
    <w:rsid w:val="50CE26AB"/>
    <w:rsid w:val="50F32112"/>
    <w:rsid w:val="515626A1"/>
    <w:rsid w:val="51D33CF1"/>
    <w:rsid w:val="51E71247"/>
    <w:rsid w:val="520E6AD8"/>
    <w:rsid w:val="522307D5"/>
    <w:rsid w:val="5295559B"/>
    <w:rsid w:val="52E37F64"/>
    <w:rsid w:val="54754BEC"/>
    <w:rsid w:val="54D67D81"/>
    <w:rsid w:val="54D9161F"/>
    <w:rsid w:val="55EC7130"/>
    <w:rsid w:val="571406EC"/>
    <w:rsid w:val="57423EBA"/>
    <w:rsid w:val="575907F5"/>
    <w:rsid w:val="57A04676"/>
    <w:rsid w:val="586D09FC"/>
    <w:rsid w:val="5A0233C6"/>
    <w:rsid w:val="5A6C083F"/>
    <w:rsid w:val="5B595267"/>
    <w:rsid w:val="5B913D4A"/>
    <w:rsid w:val="5CB0535B"/>
    <w:rsid w:val="5CE60D7D"/>
    <w:rsid w:val="5E145476"/>
    <w:rsid w:val="5E1C432A"/>
    <w:rsid w:val="5E40626B"/>
    <w:rsid w:val="5EA42C9D"/>
    <w:rsid w:val="5EAB5CCD"/>
    <w:rsid w:val="600F2399"/>
    <w:rsid w:val="605A7938"/>
    <w:rsid w:val="60BE791B"/>
    <w:rsid w:val="60CC64DC"/>
    <w:rsid w:val="61021EFD"/>
    <w:rsid w:val="613F280A"/>
    <w:rsid w:val="628C7CD0"/>
    <w:rsid w:val="63387E58"/>
    <w:rsid w:val="634E31D8"/>
    <w:rsid w:val="635602DE"/>
    <w:rsid w:val="649C61C5"/>
    <w:rsid w:val="64FB2EEB"/>
    <w:rsid w:val="6520747A"/>
    <w:rsid w:val="65273CE0"/>
    <w:rsid w:val="65B31645"/>
    <w:rsid w:val="674C5C80"/>
    <w:rsid w:val="67C43A69"/>
    <w:rsid w:val="67E73BFB"/>
    <w:rsid w:val="68475AD3"/>
    <w:rsid w:val="6885769C"/>
    <w:rsid w:val="699D0A15"/>
    <w:rsid w:val="69D00DEB"/>
    <w:rsid w:val="6A3A2708"/>
    <w:rsid w:val="6A5437CA"/>
    <w:rsid w:val="6CA67BE1"/>
    <w:rsid w:val="6CE16E6B"/>
    <w:rsid w:val="6D413DAD"/>
    <w:rsid w:val="6D8F2D6B"/>
    <w:rsid w:val="6DF57072"/>
    <w:rsid w:val="707D334E"/>
    <w:rsid w:val="708E730A"/>
    <w:rsid w:val="719170B1"/>
    <w:rsid w:val="72734A09"/>
    <w:rsid w:val="73283E49"/>
    <w:rsid w:val="73A62BBC"/>
    <w:rsid w:val="73AF7CC3"/>
    <w:rsid w:val="74085625"/>
    <w:rsid w:val="74A76BEC"/>
    <w:rsid w:val="750758DC"/>
    <w:rsid w:val="750D2EF3"/>
    <w:rsid w:val="756E3266"/>
    <w:rsid w:val="75A35605"/>
    <w:rsid w:val="75EF43A6"/>
    <w:rsid w:val="761A519B"/>
    <w:rsid w:val="762D4ECF"/>
    <w:rsid w:val="763B3A90"/>
    <w:rsid w:val="771340C5"/>
    <w:rsid w:val="773B361B"/>
    <w:rsid w:val="779C055E"/>
    <w:rsid w:val="77BA6C36"/>
    <w:rsid w:val="77DA1086"/>
    <w:rsid w:val="781225CE"/>
    <w:rsid w:val="7A2F5A49"/>
    <w:rsid w:val="7CB93960"/>
    <w:rsid w:val="7D133070"/>
    <w:rsid w:val="7D3B25C7"/>
    <w:rsid w:val="7D3D633F"/>
    <w:rsid w:val="7D797F34"/>
    <w:rsid w:val="7DBC3708"/>
    <w:rsid w:val="7E1F5A45"/>
    <w:rsid w:val="7E2D0162"/>
    <w:rsid w:val="7E301A00"/>
    <w:rsid w:val="7F6C6A68"/>
    <w:rsid w:val="7F8F2756"/>
    <w:rsid w:val="7FD648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autoRedefine/>
    <w:unhideWhenUsed/>
    <w:qFormat/>
    <w:uiPriority w:val="0"/>
    <w:pPr>
      <w:keepNext/>
      <w:keepLines/>
      <w:spacing w:beforeLines="0" w:beforeAutospacing="0" w:afterLines="0" w:afterAutospacing="0" w:line="560" w:lineRule="exact"/>
      <w:ind w:firstLine="640" w:firstLineChars="200"/>
      <w:outlineLvl w:val="1"/>
    </w:pPr>
    <w:rPr>
      <w:rFonts w:ascii="楷体" w:hAnsi="楷体" w:eastAsia="楷体"/>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3">
    <w:name w:val="footer"/>
    <w:basedOn w:val="1"/>
    <w:autoRedefine/>
    <w:qFormat/>
    <w:uiPriority w:val="0"/>
    <w:pPr>
      <w:tabs>
        <w:tab w:val="center" w:pos="4153"/>
        <w:tab w:val="right" w:pos="8306"/>
      </w:tabs>
      <w:snapToGrid w:val="0"/>
      <w:jc w:val="left"/>
    </w:pPr>
    <w:rPr>
      <w:sz w:val="18"/>
      <w:szCs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2024-01-03T07:47:00Z</dcterms:created>
  <dc:creator>wkq</dc:creator>
  <cp:lastModifiedBy>根本不够睡</cp:lastModifiedBy>
  <cp:lastPrinted>2024-01-16T02:56:00Z</cp:lastPrinted>
  <dcterms:modified xsi:type="dcterms:W3CDTF">2024-01-22T03:03:52Z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1DC5A01200134C1E95FB02E3F8757511_12</vt:lpwstr>
  </property>
</Properties>
</file>